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4F26" w14:textId="487665D7" w:rsidR="00246206" w:rsidRPr="00486C8B" w:rsidRDefault="006A0D57" w:rsidP="000E2FDA">
      <w:pPr>
        <w:spacing w:after="0" w:line="360" w:lineRule="auto"/>
        <w:ind w:left="720" w:firstLine="414"/>
        <w:jc w:val="center"/>
        <w:rPr>
          <w:rFonts w:ascii="Times New Roman" w:hAnsi="Times New Roman" w:cs="Times New Roman"/>
          <w:b/>
          <w:bCs/>
          <w:sz w:val="26"/>
          <w:szCs w:val="26"/>
          <w:lang w:val="en-US"/>
        </w:rPr>
      </w:pPr>
      <w:r w:rsidRPr="00486C8B">
        <w:rPr>
          <w:rFonts w:ascii="Times New Roman" w:hAnsi="Times New Roman" w:cs="Times New Roman"/>
          <w:b/>
          <w:bCs/>
          <w:sz w:val="26"/>
          <w:szCs w:val="26"/>
          <w:lang w:val="en-US"/>
        </w:rPr>
        <w:t xml:space="preserve">Tax </w:t>
      </w:r>
      <w:r w:rsidR="007B6018">
        <w:rPr>
          <w:rFonts w:ascii="Times New Roman" w:hAnsi="Times New Roman" w:cs="Times New Roman"/>
          <w:b/>
          <w:bCs/>
          <w:sz w:val="26"/>
          <w:szCs w:val="26"/>
          <w:lang w:val="en-US"/>
        </w:rPr>
        <w:t>Opportunities</w:t>
      </w:r>
      <w:r w:rsidRPr="00486C8B">
        <w:rPr>
          <w:rFonts w:ascii="Times New Roman" w:hAnsi="Times New Roman" w:cs="Times New Roman"/>
          <w:b/>
          <w:bCs/>
          <w:sz w:val="26"/>
          <w:szCs w:val="26"/>
          <w:lang w:val="en-US"/>
        </w:rPr>
        <w:t xml:space="preserve"> for Enterprises Investing in Italy</w:t>
      </w:r>
    </w:p>
    <w:p w14:paraId="40F44ED4" w14:textId="77777777" w:rsidR="00246206" w:rsidRPr="00486C8B" w:rsidRDefault="00246206">
      <w:pPr>
        <w:spacing w:after="0" w:line="360" w:lineRule="auto"/>
        <w:ind w:left="720" w:firstLine="414"/>
        <w:rPr>
          <w:rFonts w:ascii="Times New Roman" w:eastAsia="Times New Roman" w:hAnsi="Times New Roman" w:cs="Times New Roman"/>
          <w:b/>
          <w:bCs/>
          <w:sz w:val="26"/>
          <w:szCs w:val="26"/>
          <w:lang w:val="en-US"/>
        </w:rPr>
      </w:pPr>
    </w:p>
    <w:p w14:paraId="7780F5C0" w14:textId="2BD306A7" w:rsidR="00246206" w:rsidRPr="00486C8B" w:rsidRDefault="006A0D57">
      <w:pPr>
        <w:spacing w:after="0" w:line="360" w:lineRule="auto"/>
        <w:ind w:left="72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The Italian legislation provides for </w:t>
      </w:r>
      <w:r w:rsidR="008F1731" w:rsidRPr="00486C8B">
        <w:rPr>
          <w:rFonts w:ascii="Times New Roman" w:hAnsi="Times New Roman" w:cs="Times New Roman"/>
          <w:sz w:val="26"/>
          <w:szCs w:val="26"/>
          <w:lang w:val="en-US"/>
        </w:rPr>
        <w:t xml:space="preserve">several </w:t>
      </w:r>
      <w:r w:rsidRPr="00486C8B">
        <w:rPr>
          <w:rFonts w:ascii="Times New Roman" w:hAnsi="Times New Roman" w:cs="Times New Roman"/>
          <w:sz w:val="26"/>
          <w:szCs w:val="26"/>
          <w:lang w:val="en-US"/>
        </w:rPr>
        <w:t xml:space="preserve">tax incentives mostly aimed at </w:t>
      </w:r>
      <w:r w:rsidR="008F1731" w:rsidRPr="00486C8B">
        <w:rPr>
          <w:rFonts w:ascii="Times New Roman" w:hAnsi="Times New Roman" w:cs="Times New Roman"/>
          <w:sz w:val="26"/>
          <w:szCs w:val="26"/>
          <w:lang w:val="en-US"/>
        </w:rPr>
        <w:t xml:space="preserve">promoting investments. </w:t>
      </w:r>
      <w:r w:rsidRPr="00486C8B">
        <w:rPr>
          <w:rFonts w:ascii="Times New Roman" w:hAnsi="Times New Roman" w:cs="Times New Roman"/>
          <w:sz w:val="26"/>
          <w:szCs w:val="26"/>
          <w:lang w:val="en-US"/>
        </w:rPr>
        <w:t xml:space="preserve">The main measures </w:t>
      </w:r>
      <w:r w:rsidR="008F1731" w:rsidRPr="00486C8B">
        <w:rPr>
          <w:rFonts w:ascii="Times New Roman" w:hAnsi="Times New Roman" w:cs="Times New Roman"/>
          <w:sz w:val="26"/>
          <w:szCs w:val="26"/>
          <w:lang w:val="en-US"/>
        </w:rPr>
        <w:t>are directed to companies and individual</w:t>
      </w:r>
      <w:r w:rsidR="009A1D85" w:rsidRPr="00486C8B">
        <w:rPr>
          <w:rFonts w:ascii="Times New Roman" w:hAnsi="Times New Roman" w:cs="Times New Roman"/>
          <w:sz w:val="26"/>
          <w:szCs w:val="26"/>
          <w:lang w:val="en-US"/>
        </w:rPr>
        <w:t>s</w:t>
      </w:r>
      <w:r w:rsidR="008F1731" w:rsidRPr="00486C8B">
        <w:rPr>
          <w:rFonts w:ascii="Times New Roman" w:hAnsi="Times New Roman" w:cs="Times New Roman"/>
          <w:sz w:val="26"/>
          <w:szCs w:val="26"/>
          <w:lang w:val="en-US"/>
        </w:rPr>
        <w:t xml:space="preserve"> carrying on </w:t>
      </w:r>
      <w:r w:rsidR="00E91498" w:rsidRPr="00486C8B">
        <w:rPr>
          <w:rFonts w:ascii="Times New Roman" w:hAnsi="Times New Roman" w:cs="Times New Roman"/>
          <w:sz w:val="26"/>
          <w:szCs w:val="26"/>
          <w:lang w:val="en-US"/>
        </w:rPr>
        <w:t>the</w:t>
      </w:r>
      <w:r w:rsidR="009A1D85" w:rsidRPr="00486C8B">
        <w:rPr>
          <w:rFonts w:ascii="Times New Roman" w:hAnsi="Times New Roman" w:cs="Times New Roman"/>
          <w:sz w:val="26"/>
          <w:szCs w:val="26"/>
          <w:lang w:val="en-US"/>
        </w:rPr>
        <w:t xml:space="preserve"> </w:t>
      </w:r>
      <w:r w:rsidR="008F1731" w:rsidRPr="00486C8B">
        <w:rPr>
          <w:rFonts w:ascii="Times New Roman" w:hAnsi="Times New Roman" w:cs="Times New Roman"/>
          <w:sz w:val="26"/>
          <w:szCs w:val="26"/>
          <w:lang w:val="en-US"/>
        </w:rPr>
        <w:t xml:space="preserve">business </w:t>
      </w:r>
      <w:r w:rsidR="009A1D85" w:rsidRPr="00486C8B">
        <w:rPr>
          <w:rFonts w:ascii="Times New Roman" w:hAnsi="Times New Roman" w:cs="Times New Roman"/>
          <w:sz w:val="26"/>
          <w:szCs w:val="26"/>
          <w:lang w:val="en-US"/>
        </w:rPr>
        <w:t xml:space="preserve">of an enterprise </w:t>
      </w:r>
      <w:r w:rsidR="008F1731" w:rsidRPr="00486C8B">
        <w:rPr>
          <w:rFonts w:ascii="Times New Roman" w:hAnsi="Times New Roman" w:cs="Times New Roman"/>
          <w:sz w:val="26"/>
          <w:szCs w:val="26"/>
          <w:lang w:val="en-US"/>
        </w:rPr>
        <w:t xml:space="preserve">in the territory of the State and </w:t>
      </w:r>
      <w:r w:rsidRPr="00486C8B">
        <w:rPr>
          <w:rFonts w:ascii="Times New Roman" w:hAnsi="Times New Roman" w:cs="Times New Roman"/>
          <w:sz w:val="26"/>
          <w:szCs w:val="26"/>
          <w:lang w:val="en-US"/>
        </w:rPr>
        <w:t>include: Patent</w:t>
      </w:r>
      <w:bookmarkStart w:id="0" w:name="_GoBack"/>
      <w:bookmarkEnd w:id="0"/>
      <w:r w:rsidRPr="00486C8B">
        <w:rPr>
          <w:rFonts w:ascii="Times New Roman" w:hAnsi="Times New Roman" w:cs="Times New Roman"/>
          <w:sz w:val="26"/>
          <w:szCs w:val="26"/>
          <w:lang w:val="en-US"/>
        </w:rPr>
        <w:t xml:space="preserve"> Box Regime; Allowance for corporate equity; Research &amp; Development tax credit; Super-amortization and Extra-Amortization</w:t>
      </w:r>
      <w:r w:rsidR="00D05A70" w:rsidRPr="00486C8B">
        <w:rPr>
          <w:rFonts w:ascii="Times New Roman" w:hAnsi="Times New Roman" w:cs="Times New Roman"/>
          <w:sz w:val="26"/>
          <w:szCs w:val="26"/>
          <w:lang w:val="en-US"/>
        </w:rPr>
        <w:t>; VAT grouping rules.</w:t>
      </w:r>
    </w:p>
    <w:p w14:paraId="2960C5AE" w14:textId="77777777" w:rsidR="00246206" w:rsidRPr="00486C8B" w:rsidRDefault="006A0D57">
      <w:pPr>
        <w:spacing w:after="0" w:line="360" w:lineRule="auto"/>
        <w:ind w:left="72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In addition, a special New Residents regime for individuals moving to Italy has been introduced. </w:t>
      </w:r>
    </w:p>
    <w:p w14:paraId="008C72AA" w14:textId="012DC87E" w:rsidR="00C47FC1" w:rsidRDefault="006A0D57">
      <w:pPr>
        <w:spacing w:after="0" w:line="360" w:lineRule="auto"/>
        <w:ind w:left="72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Furthermore, recent initiatives have been taken in order to promote the dialogue between taxpayers and the</w:t>
      </w:r>
      <w:r w:rsidR="00C47FC1">
        <w:rPr>
          <w:rFonts w:ascii="Times New Roman" w:hAnsi="Times New Roman" w:cs="Times New Roman"/>
          <w:sz w:val="26"/>
          <w:szCs w:val="26"/>
          <w:lang w:val="en-US"/>
        </w:rPr>
        <w:t xml:space="preserve"> Italian</w:t>
      </w:r>
      <w:r w:rsidRPr="00486C8B">
        <w:rPr>
          <w:rFonts w:ascii="Times New Roman" w:hAnsi="Times New Roman" w:cs="Times New Roman"/>
          <w:sz w:val="26"/>
          <w:szCs w:val="26"/>
          <w:lang w:val="en-US"/>
        </w:rPr>
        <w:t xml:space="preserve"> Revenue Agency, and to ensure certainty and compliance in tax law. In particular</w:t>
      </w:r>
      <w:r w:rsidR="00C47FC1">
        <w:rPr>
          <w:rFonts w:ascii="Times New Roman" w:hAnsi="Times New Roman" w:cs="Times New Roman"/>
          <w:sz w:val="26"/>
          <w:szCs w:val="26"/>
          <w:lang w:val="en-US"/>
        </w:rPr>
        <w:t xml:space="preserve">: </w:t>
      </w:r>
    </w:p>
    <w:p w14:paraId="27179E0E" w14:textId="77777777" w:rsidR="007B6018" w:rsidRDefault="007B6018" w:rsidP="00C47FC1">
      <w:pPr>
        <w:pStyle w:val="Paragrafoelenco"/>
        <w:numPr>
          <w:ilvl w:val="0"/>
          <w:numId w:val="27"/>
        </w:numPr>
        <w:spacing w:after="0" w:line="36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Pr="00C47FC1">
        <w:rPr>
          <w:rFonts w:ascii="Times New Roman" w:hAnsi="Times New Roman" w:cs="Times New Roman"/>
          <w:sz w:val="26"/>
          <w:szCs w:val="26"/>
          <w:lang w:val="en-US"/>
        </w:rPr>
        <w:t xml:space="preserve">General Taxpayer’s Advance Ruling </w:t>
      </w:r>
      <w:r>
        <w:rPr>
          <w:rFonts w:ascii="Times New Roman" w:hAnsi="Times New Roman" w:cs="Times New Roman"/>
          <w:sz w:val="26"/>
          <w:szCs w:val="26"/>
          <w:lang w:val="en-US"/>
        </w:rPr>
        <w:t xml:space="preserve">and </w:t>
      </w:r>
      <w:r w:rsidRPr="00C47FC1">
        <w:rPr>
          <w:rFonts w:ascii="Times New Roman" w:hAnsi="Times New Roman" w:cs="Times New Roman"/>
          <w:sz w:val="26"/>
          <w:szCs w:val="26"/>
          <w:lang w:val="en-US"/>
        </w:rPr>
        <w:t>the Advance Tax Agreements for enterprises with international activities</w:t>
      </w:r>
      <w:r>
        <w:rPr>
          <w:rFonts w:ascii="Times New Roman" w:hAnsi="Times New Roman" w:cs="Times New Roman"/>
          <w:sz w:val="26"/>
          <w:szCs w:val="26"/>
          <w:lang w:val="en-US"/>
        </w:rPr>
        <w:t xml:space="preserve"> </w:t>
      </w:r>
      <w:r w:rsidRPr="00C47FC1">
        <w:rPr>
          <w:rFonts w:ascii="Times New Roman" w:hAnsi="Times New Roman" w:cs="Times New Roman"/>
          <w:sz w:val="26"/>
          <w:szCs w:val="26"/>
          <w:lang w:val="en-US"/>
        </w:rPr>
        <w:t>have been enhanced</w:t>
      </w:r>
      <w:r>
        <w:rPr>
          <w:rFonts w:ascii="Times New Roman" w:hAnsi="Times New Roman" w:cs="Times New Roman"/>
          <w:sz w:val="26"/>
          <w:szCs w:val="26"/>
          <w:lang w:val="en-US"/>
        </w:rPr>
        <w:t>;</w:t>
      </w:r>
      <w:r w:rsidRPr="00C47FC1">
        <w:rPr>
          <w:rFonts w:ascii="Times New Roman" w:hAnsi="Times New Roman" w:cs="Times New Roman"/>
          <w:sz w:val="26"/>
          <w:szCs w:val="26"/>
          <w:lang w:val="en-US"/>
        </w:rPr>
        <w:t xml:space="preserve"> </w:t>
      </w:r>
    </w:p>
    <w:p w14:paraId="26CD4689" w14:textId="1AAF623D" w:rsidR="00246206" w:rsidRPr="00471020" w:rsidRDefault="006A0D57">
      <w:pPr>
        <w:pStyle w:val="Paragrafoelenco"/>
        <w:numPr>
          <w:ilvl w:val="0"/>
          <w:numId w:val="27"/>
        </w:numPr>
        <w:spacing w:after="0" w:line="360" w:lineRule="auto"/>
        <w:rPr>
          <w:rFonts w:ascii="Times New Roman" w:hAnsi="Times New Roman" w:cs="Times New Roman"/>
          <w:sz w:val="26"/>
          <w:szCs w:val="26"/>
          <w:lang w:val="en-US"/>
        </w:rPr>
      </w:pPr>
      <w:r w:rsidRPr="00C47FC1">
        <w:rPr>
          <w:rFonts w:ascii="Times New Roman" w:hAnsi="Times New Roman" w:cs="Times New Roman"/>
          <w:sz w:val="26"/>
          <w:szCs w:val="26"/>
          <w:lang w:val="en-US"/>
        </w:rPr>
        <w:t xml:space="preserve">the Cooperative Compliance Program and the </w:t>
      </w:r>
      <w:r w:rsidR="00E91498" w:rsidRPr="00C47FC1">
        <w:rPr>
          <w:rFonts w:ascii="Times New Roman" w:hAnsi="Times New Roman" w:cs="Times New Roman"/>
          <w:sz w:val="26"/>
          <w:szCs w:val="26"/>
          <w:lang w:val="en-US"/>
        </w:rPr>
        <w:t xml:space="preserve">Advance </w:t>
      </w:r>
      <w:r w:rsidRPr="00C47FC1">
        <w:rPr>
          <w:rFonts w:ascii="Times New Roman" w:hAnsi="Times New Roman" w:cs="Times New Roman"/>
          <w:sz w:val="26"/>
          <w:szCs w:val="26"/>
          <w:lang w:val="en-US"/>
        </w:rPr>
        <w:t xml:space="preserve">Tax </w:t>
      </w:r>
      <w:r w:rsidR="00E91498" w:rsidRPr="00C47FC1">
        <w:rPr>
          <w:rFonts w:ascii="Times New Roman" w:hAnsi="Times New Roman" w:cs="Times New Roman"/>
          <w:sz w:val="26"/>
          <w:szCs w:val="26"/>
          <w:lang w:val="en-US"/>
        </w:rPr>
        <w:t xml:space="preserve">Ruling </w:t>
      </w:r>
      <w:r w:rsidRPr="00C47FC1">
        <w:rPr>
          <w:rFonts w:ascii="Times New Roman" w:hAnsi="Times New Roman" w:cs="Times New Roman"/>
          <w:sz w:val="26"/>
          <w:szCs w:val="26"/>
          <w:lang w:val="en-US"/>
        </w:rPr>
        <w:t>on new investments have been introduced</w:t>
      </w:r>
      <w:r w:rsidRPr="00471020">
        <w:rPr>
          <w:rFonts w:ascii="Times New Roman" w:hAnsi="Times New Roman" w:cs="Times New Roman"/>
          <w:sz w:val="26"/>
          <w:szCs w:val="26"/>
          <w:lang w:val="en-US"/>
        </w:rPr>
        <w:t>.</w:t>
      </w:r>
    </w:p>
    <w:p w14:paraId="2C17CE56" w14:textId="77777777" w:rsidR="00246206" w:rsidRPr="00486C8B" w:rsidRDefault="00246206">
      <w:pPr>
        <w:spacing w:after="0" w:line="360" w:lineRule="auto"/>
        <w:ind w:left="720" w:firstLine="414"/>
        <w:jc w:val="center"/>
        <w:rPr>
          <w:rFonts w:ascii="Times New Roman" w:eastAsia="Times New Roman" w:hAnsi="Times New Roman" w:cs="Times New Roman"/>
          <w:b/>
          <w:bCs/>
          <w:sz w:val="26"/>
          <w:szCs w:val="26"/>
          <w:lang w:val="en-US"/>
        </w:rPr>
      </w:pPr>
    </w:p>
    <w:p w14:paraId="2853878B" w14:textId="77777777" w:rsidR="00246206" w:rsidRPr="00486C8B" w:rsidRDefault="006A0D57">
      <w:pPr>
        <w:spacing w:after="0" w:line="360" w:lineRule="auto"/>
        <w:ind w:left="720" w:firstLine="414"/>
        <w:jc w:val="center"/>
        <w:rPr>
          <w:rFonts w:ascii="Times New Roman" w:hAnsi="Times New Roman" w:cs="Times New Roman"/>
          <w:b/>
          <w:bCs/>
          <w:sz w:val="26"/>
          <w:szCs w:val="26"/>
          <w:lang w:val="en-US"/>
        </w:rPr>
      </w:pPr>
      <w:r w:rsidRPr="00486C8B">
        <w:rPr>
          <w:rFonts w:ascii="Times New Roman" w:hAnsi="Times New Roman" w:cs="Times New Roman"/>
          <w:b/>
          <w:bCs/>
          <w:sz w:val="26"/>
          <w:szCs w:val="26"/>
          <w:lang w:val="en-US"/>
        </w:rPr>
        <w:t>Tax incentives</w:t>
      </w:r>
    </w:p>
    <w:p w14:paraId="2783B238" w14:textId="77777777" w:rsidR="00246206" w:rsidRPr="00486C8B" w:rsidRDefault="00246206">
      <w:pPr>
        <w:spacing w:after="0" w:line="360" w:lineRule="auto"/>
        <w:ind w:left="720" w:firstLine="414"/>
        <w:jc w:val="center"/>
        <w:rPr>
          <w:rFonts w:ascii="Times New Roman" w:eastAsia="Times New Roman" w:hAnsi="Times New Roman" w:cs="Times New Roman"/>
          <w:b/>
          <w:bCs/>
          <w:sz w:val="26"/>
          <w:szCs w:val="26"/>
          <w:lang w:val="en-US"/>
        </w:rPr>
      </w:pPr>
    </w:p>
    <w:p w14:paraId="0258D634" w14:textId="77777777" w:rsidR="00246206" w:rsidRPr="00486C8B" w:rsidRDefault="006A0D57">
      <w:pPr>
        <w:numPr>
          <w:ilvl w:val="0"/>
          <w:numId w:val="2"/>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Patent box</w:t>
      </w:r>
      <w:r w:rsidRPr="00486C8B">
        <w:rPr>
          <w:rFonts w:ascii="Times New Roman" w:hAnsi="Times New Roman" w:cs="Times New Roman"/>
          <w:sz w:val="26"/>
          <w:szCs w:val="26"/>
          <w:lang w:val="en-US"/>
        </w:rPr>
        <w:t xml:space="preserve">. </w:t>
      </w:r>
    </w:p>
    <w:p w14:paraId="251E43C9" w14:textId="0CFA2270"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The Patent Box regime is a tax bonus introduced to improve exploitation and development of intellectual propert</w:t>
      </w:r>
      <w:r w:rsidR="007B6018">
        <w:rPr>
          <w:rFonts w:ascii="Times New Roman" w:hAnsi="Times New Roman" w:cs="Times New Roman"/>
          <w:sz w:val="26"/>
          <w:szCs w:val="26"/>
          <w:lang w:val="en-US"/>
        </w:rPr>
        <w:t>ies (IPs)</w:t>
      </w:r>
      <w:r w:rsidR="007E67AA" w:rsidRPr="00486C8B">
        <w:rPr>
          <w:rFonts w:ascii="Times New Roman" w:hAnsi="Times New Roman" w:cs="Times New Roman"/>
          <w:sz w:val="26"/>
          <w:szCs w:val="26"/>
          <w:lang w:val="en-US"/>
        </w:rPr>
        <w:t xml:space="preserve"> </w:t>
      </w:r>
      <w:r w:rsidR="00471020" w:rsidRPr="00C238CB">
        <w:rPr>
          <w:rFonts w:ascii="Times New Roman" w:hAnsi="Times New Roman" w:cs="Times New Roman"/>
          <w:sz w:val="26"/>
          <w:szCs w:val="26"/>
          <w:lang w:val="en-US"/>
        </w:rPr>
        <w:t xml:space="preserve">deriving from </w:t>
      </w:r>
      <w:r w:rsidR="007E67AA" w:rsidRPr="00C238CB">
        <w:rPr>
          <w:rFonts w:ascii="Times New Roman" w:hAnsi="Times New Roman" w:cs="Times New Roman"/>
          <w:sz w:val="26"/>
          <w:szCs w:val="26"/>
          <w:lang w:val="en-US"/>
        </w:rPr>
        <w:t>research and development activities</w:t>
      </w:r>
      <w:r w:rsidRPr="00E97ECC">
        <w:rPr>
          <w:rFonts w:ascii="Times New Roman" w:hAnsi="Times New Roman" w:cs="Times New Roman"/>
          <w:sz w:val="26"/>
          <w:szCs w:val="26"/>
          <w:lang w:val="en-US"/>
        </w:rPr>
        <w:t>, in order to increas</w:t>
      </w:r>
      <w:r w:rsidRPr="00486C8B">
        <w:rPr>
          <w:rFonts w:ascii="Times New Roman" w:hAnsi="Times New Roman" w:cs="Times New Roman"/>
          <w:sz w:val="26"/>
          <w:szCs w:val="26"/>
          <w:lang w:val="en-US"/>
        </w:rPr>
        <w:t xml:space="preserve">e enterprises’ competitiveness and growth. </w:t>
      </w:r>
    </w:p>
    <w:p w14:paraId="151B4706" w14:textId="3DFDC106" w:rsidR="007E67AA" w:rsidRPr="00486C8B" w:rsidRDefault="007E67AA" w:rsidP="007E67AA">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Benefits</w:t>
      </w:r>
      <w:r w:rsidRPr="00486C8B">
        <w:rPr>
          <w:rFonts w:ascii="Times New Roman" w:hAnsi="Times New Roman" w:cs="Times New Roman"/>
          <w:sz w:val="26"/>
          <w:szCs w:val="26"/>
          <w:lang w:val="en-US"/>
        </w:rPr>
        <w:t xml:space="preserve">. The </w:t>
      </w:r>
      <w:r w:rsidR="002E302D" w:rsidRPr="00486C8B">
        <w:rPr>
          <w:rFonts w:ascii="Times New Roman" w:hAnsi="Times New Roman" w:cs="Times New Roman"/>
          <w:sz w:val="26"/>
          <w:szCs w:val="26"/>
          <w:lang w:val="en-US"/>
        </w:rPr>
        <w:t>incentive</w:t>
      </w:r>
      <w:r w:rsidRPr="00486C8B">
        <w:rPr>
          <w:rFonts w:ascii="Times New Roman" w:hAnsi="Times New Roman" w:cs="Times New Roman"/>
          <w:sz w:val="26"/>
          <w:szCs w:val="26"/>
          <w:lang w:val="en-US"/>
        </w:rPr>
        <w:t xml:space="preserve"> entails an optional partial tax exemption (up to 50%) from corporate tax for income deriving from the direct exploitation of intellectual property (for instance, profits deriving from sale or use of the IP, net of relating expenditures) or from licensing of the IP (such as </w:t>
      </w:r>
      <w:r w:rsidRPr="00486C8B">
        <w:rPr>
          <w:rFonts w:ascii="Times New Roman" w:hAnsi="Times New Roman" w:cs="Times New Roman"/>
          <w:sz w:val="26"/>
          <w:szCs w:val="26"/>
          <w:lang w:val="en-US"/>
        </w:rPr>
        <w:lastRenderedPageBreak/>
        <w:t>royalties earned by the taxpayer, net of all IP-relating costs). In order to determine the benefit, we had adopted the so called “modified nexus approach”: this means that there must be a direct nexus between R&amp;D activities and qualified IP, as well as a direct nexus between qualified IP and qualified income. The Patent Box regime requires taxpayers to submit to the Italian Revenue Agency a query for an ad hoc tax ruling, leading to a binding agreement between the Italian Revenue Agency and the taxpayer. This agreement is aimed at determining the methods to be followed in order to define the income</w:t>
      </w:r>
      <w:r w:rsidR="007B6018">
        <w:rPr>
          <w:rFonts w:ascii="Times New Roman" w:hAnsi="Times New Roman" w:cs="Times New Roman"/>
          <w:sz w:val="26"/>
          <w:szCs w:val="26"/>
          <w:lang w:val="en-US"/>
        </w:rPr>
        <w:t xml:space="preserve"> deriving from the direct exploitation of IPs</w:t>
      </w:r>
      <w:r w:rsidRPr="00486C8B">
        <w:rPr>
          <w:rFonts w:ascii="Times New Roman" w:hAnsi="Times New Roman" w:cs="Times New Roman"/>
          <w:sz w:val="26"/>
          <w:szCs w:val="26"/>
          <w:lang w:val="en-US"/>
        </w:rPr>
        <w:t>.</w:t>
      </w:r>
    </w:p>
    <w:p w14:paraId="528062DB"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Qualifying persons. </w:t>
      </w:r>
      <w:r w:rsidRPr="00486C8B">
        <w:rPr>
          <w:rFonts w:ascii="Times New Roman" w:hAnsi="Times New Roman" w:cs="Times New Roman"/>
          <w:sz w:val="26"/>
          <w:szCs w:val="26"/>
          <w:lang w:val="en-US"/>
        </w:rPr>
        <w:t>The benefit is granted to taxpayers carrying out research and development activities</w:t>
      </w:r>
      <w:r w:rsidR="007B6018">
        <w:rPr>
          <w:rFonts w:ascii="Times New Roman" w:hAnsi="Times New Roman" w:cs="Times New Roman"/>
          <w:sz w:val="26"/>
          <w:szCs w:val="26"/>
          <w:lang w:val="en-US"/>
        </w:rPr>
        <w:t xml:space="preserve"> related to IPs</w:t>
      </w:r>
      <w:r w:rsidRPr="00486C8B">
        <w:rPr>
          <w:rFonts w:ascii="Times New Roman" w:hAnsi="Times New Roman" w:cs="Times New Roman"/>
          <w:sz w:val="26"/>
          <w:szCs w:val="26"/>
          <w:lang w:val="en-US"/>
        </w:rPr>
        <w:t xml:space="preserve"> (companies; individual entrepreneurs; other entities, different from companies, carrying on business activities). Also non-resident taxpayers with a Permanent Establishment in Italy may benefit from the Patent Box if they are resident in a country with which Italy has an effective tax information exchange agreement in force. </w:t>
      </w:r>
    </w:p>
    <w:p w14:paraId="225D55CF"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assets.</w:t>
      </w:r>
      <w:r w:rsidRPr="00486C8B">
        <w:rPr>
          <w:rFonts w:ascii="Times New Roman" w:hAnsi="Times New Roman" w:cs="Times New Roman"/>
          <w:sz w:val="26"/>
          <w:szCs w:val="26"/>
          <w:lang w:val="en-US"/>
        </w:rPr>
        <w:t xml:space="preserve"> Eligible intangible assets are software protected by copyright, patents, trademarks including collective brands, business and technical-industrial know how, other legally protected IP  (such as designs and models).</w:t>
      </w:r>
    </w:p>
    <w:p w14:paraId="71B1AF67" w14:textId="77777777" w:rsidR="00246206" w:rsidRPr="00486C8B" w:rsidRDefault="00246206">
      <w:pPr>
        <w:spacing w:after="0" w:line="360" w:lineRule="auto"/>
        <w:ind w:left="709" w:firstLine="414"/>
        <w:rPr>
          <w:rFonts w:ascii="Times New Roman" w:eastAsia="Times New Roman" w:hAnsi="Times New Roman" w:cs="Times New Roman"/>
          <w:sz w:val="26"/>
          <w:szCs w:val="26"/>
          <w:lang w:val="en-US"/>
        </w:rPr>
      </w:pPr>
    </w:p>
    <w:p w14:paraId="48A2EE04" w14:textId="77777777" w:rsidR="00246206" w:rsidRPr="00486C8B" w:rsidRDefault="006A0D57">
      <w:pPr>
        <w:numPr>
          <w:ilvl w:val="0"/>
          <w:numId w:val="2"/>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Allowance for Corporate Equity</w:t>
      </w:r>
      <w:r w:rsidRPr="00486C8B">
        <w:rPr>
          <w:rFonts w:ascii="Times New Roman" w:hAnsi="Times New Roman" w:cs="Times New Roman"/>
          <w:sz w:val="26"/>
          <w:szCs w:val="26"/>
          <w:lang w:val="en-US"/>
        </w:rPr>
        <w:t xml:space="preserve"> (</w:t>
      </w:r>
      <w:r w:rsidRPr="00486C8B">
        <w:rPr>
          <w:rFonts w:ascii="Times New Roman" w:hAnsi="Times New Roman" w:cs="Times New Roman"/>
          <w:b/>
          <w:bCs/>
          <w:sz w:val="26"/>
          <w:szCs w:val="26"/>
          <w:lang w:val="en-US"/>
        </w:rPr>
        <w:t>ACE</w:t>
      </w:r>
      <w:r w:rsidRPr="00486C8B">
        <w:rPr>
          <w:rFonts w:ascii="Times New Roman" w:hAnsi="Times New Roman" w:cs="Times New Roman"/>
          <w:sz w:val="26"/>
          <w:szCs w:val="26"/>
          <w:lang w:val="en-US"/>
        </w:rPr>
        <w:t xml:space="preserve">, also known as </w:t>
      </w:r>
      <w:r w:rsidRPr="00486C8B">
        <w:rPr>
          <w:rFonts w:ascii="Times New Roman" w:hAnsi="Times New Roman" w:cs="Times New Roman"/>
          <w:b/>
          <w:bCs/>
          <w:sz w:val="26"/>
          <w:szCs w:val="26"/>
          <w:lang w:val="en-US"/>
        </w:rPr>
        <w:t>Notional Interest Deduction - NID</w:t>
      </w:r>
      <w:r w:rsidRPr="00486C8B">
        <w:rPr>
          <w:rFonts w:ascii="Times New Roman" w:hAnsi="Times New Roman" w:cs="Times New Roman"/>
          <w:sz w:val="26"/>
          <w:szCs w:val="26"/>
          <w:lang w:val="en-US"/>
        </w:rPr>
        <w:t>).</w:t>
      </w:r>
    </w:p>
    <w:p w14:paraId="2D91E300"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The tax incentive has been introduced to promote the recapitalization of undertakings and to mitigate the different tax treatment applied to companies funded with debt compared to that applied to companies funded with equity. </w:t>
      </w:r>
    </w:p>
    <w:p w14:paraId="50BE3EC8" w14:textId="77777777" w:rsidR="007E67AA" w:rsidRPr="00486C8B" w:rsidRDefault="007E67AA">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Benefits</w:t>
      </w:r>
      <w:r w:rsidRPr="00486C8B">
        <w:rPr>
          <w:rFonts w:ascii="Times New Roman" w:hAnsi="Times New Roman" w:cs="Times New Roman"/>
          <w:sz w:val="26"/>
          <w:szCs w:val="26"/>
          <w:lang w:val="en-US"/>
        </w:rPr>
        <w:t xml:space="preserve">. ACE benefit entails a notional deduction from corporate income taxable base. The deduction corresponds to the net increase in the </w:t>
      </w:r>
      <w:r w:rsidRPr="00486C8B">
        <w:rPr>
          <w:rFonts w:ascii="Times New Roman" w:hAnsi="Times New Roman" w:cs="Times New Roman"/>
          <w:sz w:val="26"/>
          <w:szCs w:val="26"/>
          <w:lang w:val="en-US"/>
        </w:rPr>
        <w:lastRenderedPageBreak/>
        <w:t>“new equity” employed in the entity (meaning the equity generated after 2010), multiplied by a rate which is fixed at 2.3% for FY 2017 and increased at 2.7% for FY 2018 and thereafter.</w:t>
      </w:r>
    </w:p>
    <w:p w14:paraId="2D7B58F2"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Qualifying persons. </w:t>
      </w:r>
      <w:r w:rsidRPr="00486C8B">
        <w:rPr>
          <w:rFonts w:ascii="Times New Roman" w:hAnsi="Times New Roman" w:cs="Times New Roman"/>
          <w:sz w:val="26"/>
          <w:szCs w:val="26"/>
          <w:lang w:val="en-US"/>
        </w:rPr>
        <w:t>The incentive shall be granted to:</w:t>
      </w:r>
    </w:p>
    <w:p w14:paraId="70101108" w14:textId="77777777" w:rsidR="00246206" w:rsidRPr="00486C8B" w:rsidRDefault="006A0D57" w:rsidP="008F27F2">
      <w:pPr>
        <w:numPr>
          <w:ilvl w:val="0"/>
          <w:numId w:val="4"/>
        </w:numPr>
        <w:tabs>
          <w:tab w:val="clear" w:pos="2124"/>
          <w:tab w:val="num" w:pos="1560"/>
        </w:tabs>
        <w:spacing w:after="0" w:line="360" w:lineRule="auto"/>
        <w:ind w:left="1134" w:firstLine="0"/>
        <w:rPr>
          <w:rFonts w:ascii="Times New Roman" w:eastAsia="Times New Roman" w:hAnsi="Times New Roman" w:cs="Times New Roman"/>
          <w:i/>
          <w:iCs/>
          <w:sz w:val="26"/>
          <w:szCs w:val="26"/>
          <w:lang w:val="en-US"/>
        </w:rPr>
      </w:pPr>
      <w:r w:rsidRPr="00486C8B">
        <w:rPr>
          <w:rFonts w:ascii="Times New Roman" w:hAnsi="Times New Roman" w:cs="Times New Roman"/>
          <w:sz w:val="26"/>
          <w:szCs w:val="26"/>
          <w:lang w:val="en-US"/>
        </w:rPr>
        <w:t>resident companies;</w:t>
      </w:r>
    </w:p>
    <w:p w14:paraId="336A46EF" w14:textId="77777777" w:rsidR="00246206" w:rsidRPr="00486C8B" w:rsidRDefault="006A0D57" w:rsidP="008F27F2">
      <w:pPr>
        <w:numPr>
          <w:ilvl w:val="0"/>
          <w:numId w:val="5"/>
        </w:numPr>
        <w:spacing w:after="0" w:line="360" w:lineRule="auto"/>
        <w:ind w:hanging="37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individual resident entrepreneurs;</w:t>
      </w:r>
    </w:p>
    <w:p w14:paraId="0F300F60" w14:textId="77777777" w:rsidR="00246206" w:rsidRPr="00486C8B" w:rsidRDefault="006A0D57" w:rsidP="008F27F2">
      <w:pPr>
        <w:numPr>
          <w:ilvl w:val="0"/>
          <w:numId w:val="5"/>
        </w:numPr>
        <w:spacing w:after="0" w:line="360" w:lineRule="auto"/>
        <w:ind w:hanging="37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resident partnerships;</w:t>
      </w:r>
    </w:p>
    <w:p w14:paraId="41CA9377" w14:textId="77777777" w:rsidR="00246206" w:rsidRPr="00486C8B" w:rsidRDefault="006A0D57" w:rsidP="008F27F2">
      <w:pPr>
        <w:numPr>
          <w:ilvl w:val="0"/>
          <w:numId w:val="5"/>
        </w:numPr>
        <w:spacing w:after="0" w:line="360" w:lineRule="auto"/>
        <w:ind w:hanging="37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other commercial resident entities;</w:t>
      </w:r>
    </w:p>
    <w:p w14:paraId="138821E9" w14:textId="77777777" w:rsidR="00246206" w:rsidRPr="00486C8B" w:rsidRDefault="006A0D57" w:rsidP="008F27F2">
      <w:pPr>
        <w:numPr>
          <w:ilvl w:val="0"/>
          <w:numId w:val="5"/>
        </w:numPr>
        <w:spacing w:after="0" w:line="360" w:lineRule="auto"/>
        <w:ind w:hanging="37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Permanent Establishments in Italy of non-resident companies.</w:t>
      </w:r>
    </w:p>
    <w:p w14:paraId="6889ADC6"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increases.</w:t>
      </w:r>
      <w:r w:rsidRPr="00486C8B">
        <w:rPr>
          <w:rFonts w:ascii="Times New Roman" w:hAnsi="Times New Roman" w:cs="Times New Roman"/>
          <w:b/>
          <w:bCs/>
          <w:sz w:val="26"/>
          <w:szCs w:val="26"/>
          <w:lang w:val="en-US"/>
        </w:rPr>
        <w:t xml:space="preserve"> </w:t>
      </w:r>
      <w:r w:rsidRPr="00486C8B">
        <w:rPr>
          <w:rFonts w:ascii="Times New Roman" w:hAnsi="Times New Roman" w:cs="Times New Roman"/>
          <w:sz w:val="26"/>
          <w:szCs w:val="26"/>
          <w:lang w:val="en-US"/>
        </w:rPr>
        <w:t xml:space="preserve">The eligible equity increases may be inclusive of equity contributions and retained earnings. </w:t>
      </w:r>
    </w:p>
    <w:p w14:paraId="04DC85BC" w14:textId="77777777" w:rsidR="00246206" w:rsidRPr="00486C8B" w:rsidRDefault="00246206">
      <w:pPr>
        <w:spacing w:after="0" w:line="360" w:lineRule="auto"/>
        <w:ind w:left="709" w:firstLine="414"/>
        <w:rPr>
          <w:rFonts w:ascii="Times New Roman" w:eastAsia="Times New Roman" w:hAnsi="Times New Roman" w:cs="Times New Roman"/>
          <w:sz w:val="26"/>
          <w:szCs w:val="26"/>
          <w:lang w:val="en-US"/>
        </w:rPr>
      </w:pPr>
    </w:p>
    <w:p w14:paraId="1B0339FE" w14:textId="77777777" w:rsidR="00246206" w:rsidRPr="00486C8B" w:rsidRDefault="006A0D57">
      <w:pPr>
        <w:numPr>
          <w:ilvl w:val="0"/>
          <w:numId w:val="6"/>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Research &amp; Development tax credit</w:t>
      </w:r>
      <w:r w:rsidRPr="00486C8B">
        <w:rPr>
          <w:rFonts w:ascii="Times New Roman" w:hAnsi="Times New Roman" w:cs="Times New Roman"/>
          <w:sz w:val="26"/>
          <w:szCs w:val="26"/>
          <w:lang w:val="en-US"/>
        </w:rPr>
        <w:t xml:space="preserve">. </w:t>
      </w:r>
    </w:p>
    <w:p w14:paraId="65D47DB1" w14:textId="77777777" w:rsidR="00246206" w:rsidRPr="00486C8B" w:rsidRDefault="006A0D57" w:rsidP="008F1731">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The aim of the benefit is to encourage investments realized by taxpayers in R&amp;D activities.</w:t>
      </w:r>
    </w:p>
    <w:p w14:paraId="23E6E6E3" w14:textId="4AE2DBAB" w:rsidR="007E67AA" w:rsidRPr="00486C8B" w:rsidRDefault="007E67AA" w:rsidP="007E67AA">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Benefits</w:t>
      </w:r>
      <w:r w:rsidRPr="00486C8B">
        <w:rPr>
          <w:rFonts w:ascii="Times New Roman" w:hAnsi="Times New Roman" w:cs="Times New Roman"/>
          <w:b/>
          <w:bCs/>
          <w:sz w:val="26"/>
          <w:szCs w:val="26"/>
          <w:lang w:val="en-US"/>
        </w:rPr>
        <w:t>.</w:t>
      </w:r>
      <w:r w:rsidRPr="00486C8B">
        <w:rPr>
          <w:rFonts w:ascii="Times New Roman" w:hAnsi="Times New Roman" w:cs="Times New Roman"/>
          <w:sz w:val="26"/>
          <w:szCs w:val="26"/>
          <w:lang w:val="en-US"/>
        </w:rPr>
        <w:t xml:space="preserve"> The incentive leads to the recognition by the Revenue Agency of a tax credit up to 50% of the increase of annual R&amp;D expenses as compared to the historical average of the same expenses incurred during FYs 2012, 2013, 2014. The tax credit is neither included in the income tax base nor in the regional tax on productive activities base. Therefore, taxpayers are entitled to use tax credit in the payment form in order to reduce the amount of income or regional taxes, as well as </w:t>
      </w:r>
      <w:r w:rsidR="007B6018">
        <w:rPr>
          <w:rFonts w:ascii="Times New Roman" w:hAnsi="Times New Roman" w:cs="Times New Roman"/>
          <w:sz w:val="26"/>
          <w:szCs w:val="26"/>
          <w:lang w:val="en-US"/>
        </w:rPr>
        <w:t>VAT and</w:t>
      </w:r>
      <w:r w:rsidRPr="00486C8B">
        <w:rPr>
          <w:rFonts w:ascii="Times New Roman" w:hAnsi="Times New Roman" w:cs="Times New Roman"/>
          <w:sz w:val="26"/>
          <w:szCs w:val="26"/>
          <w:lang w:val="en-US"/>
        </w:rPr>
        <w:t xml:space="preserve"> social security contributions.</w:t>
      </w:r>
    </w:p>
    <w:p w14:paraId="6C346868" w14:textId="05D926D8" w:rsidR="00246206" w:rsidRPr="00486C8B" w:rsidRDefault="006A0D57" w:rsidP="008F1731">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sz w:val="26"/>
          <w:szCs w:val="26"/>
          <w:lang w:val="en-US"/>
        </w:rPr>
        <w:t>. The bonus is available to any enterprise (irrespective of its legal form, business sector, accounting standards and size) and also to Italian undertakings or Permanent Establishments in Italy of non-resident taxpayers, performing R&amp;D activities on the basis of agreements entered into with non-Italian</w:t>
      </w:r>
      <w:r w:rsidR="007B6018">
        <w:rPr>
          <w:rFonts w:ascii="Times New Roman" w:hAnsi="Times New Roman" w:cs="Times New Roman"/>
          <w:sz w:val="26"/>
          <w:szCs w:val="26"/>
          <w:lang w:val="en-US"/>
        </w:rPr>
        <w:t xml:space="preserve"> companies resident in </w:t>
      </w:r>
      <w:r w:rsidRPr="00486C8B">
        <w:rPr>
          <w:rFonts w:ascii="Times New Roman" w:hAnsi="Times New Roman" w:cs="Times New Roman"/>
          <w:sz w:val="26"/>
          <w:szCs w:val="26"/>
          <w:lang w:val="en-US"/>
        </w:rPr>
        <w:t>EU States,</w:t>
      </w:r>
      <w:r w:rsidR="007B6018">
        <w:rPr>
          <w:rFonts w:ascii="Times New Roman" w:hAnsi="Times New Roman" w:cs="Times New Roman"/>
          <w:sz w:val="26"/>
          <w:szCs w:val="26"/>
          <w:lang w:val="en-US"/>
        </w:rPr>
        <w:t xml:space="preserve"> </w:t>
      </w:r>
      <w:r w:rsidR="007B6018">
        <w:rPr>
          <w:rFonts w:ascii="Times New Roman" w:hAnsi="Times New Roman" w:cs="Times New Roman"/>
          <w:sz w:val="26"/>
          <w:szCs w:val="26"/>
          <w:lang w:val="en-US"/>
        </w:rPr>
        <w:lastRenderedPageBreak/>
        <w:t>or in a</w:t>
      </w:r>
      <w:r w:rsidRPr="00486C8B">
        <w:rPr>
          <w:rFonts w:ascii="Times New Roman" w:hAnsi="Times New Roman" w:cs="Times New Roman"/>
          <w:sz w:val="26"/>
          <w:szCs w:val="26"/>
          <w:lang w:val="en-US"/>
        </w:rPr>
        <w:t xml:space="preserve"> European Economic Area (EEA) countries </w:t>
      </w:r>
      <w:r w:rsidR="007B6018">
        <w:rPr>
          <w:rFonts w:ascii="Times New Roman" w:hAnsi="Times New Roman" w:cs="Times New Roman"/>
          <w:sz w:val="26"/>
          <w:szCs w:val="26"/>
          <w:lang w:val="en-US"/>
        </w:rPr>
        <w:t>or</w:t>
      </w:r>
      <w:r w:rsidRPr="00486C8B">
        <w:rPr>
          <w:rFonts w:ascii="Times New Roman" w:hAnsi="Times New Roman" w:cs="Times New Roman"/>
          <w:sz w:val="26"/>
          <w:szCs w:val="26"/>
          <w:lang w:val="en-US"/>
        </w:rPr>
        <w:t xml:space="preserve"> other country partners with which an exchange of information instrument is in force. </w:t>
      </w:r>
    </w:p>
    <w:p w14:paraId="319644BC" w14:textId="6DA12B59" w:rsidR="00246206" w:rsidRPr="00486C8B" w:rsidRDefault="006A0D57" w:rsidP="008F1731">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expenses</w:t>
      </w:r>
      <w:r w:rsidRPr="00486C8B">
        <w:rPr>
          <w:rFonts w:ascii="Times New Roman" w:hAnsi="Times New Roman" w:cs="Times New Roman"/>
          <w:b/>
          <w:bCs/>
          <w:sz w:val="26"/>
          <w:szCs w:val="26"/>
          <w:lang w:val="en-US"/>
        </w:rPr>
        <w:t xml:space="preserve">. </w:t>
      </w:r>
      <w:r w:rsidRPr="00486C8B">
        <w:rPr>
          <w:rFonts w:ascii="Times New Roman" w:hAnsi="Times New Roman" w:cs="Times New Roman"/>
          <w:sz w:val="26"/>
          <w:szCs w:val="26"/>
          <w:lang w:val="en-US"/>
        </w:rPr>
        <w:t xml:space="preserve">The right to benefit is granted to these entities once proved that they invest in the qualifying R&amp;D activities </w:t>
      </w:r>
      <w:r w:rsidR="007B6018">
        <w:rPr>
          <w:rFonts w:ascii="Times New Roman" w:hAnsi="Times New Roman" w:cs="Times New Roman"/>
          <w:sz w:val="26"/>
          <w:szCs w:val="26"/>
          <w:lang w:val="en-US"/>
        </w:rPr>
        <w:t xml:space="preserve">such as </w:t>
      </w:r>
      <w:r w:rsidRPr="00486C8B">
        <w:rPr>
          <w:rFonts w:ascii="Times New Roman" w:hAnsi="Times New Roman" w:cs="Times New Roman"/>
          <w:sz w:val="26"/>
          <w:szCs w:val="26"/>
          <w:lang w:val="en-US"/>
        </w:rPr>
        <w:t>fundamental research, industrial research and experimental development</w:t>
      </w:r>
      <w:r w:rsidR="007B6018">
        <w:rPr>
          <w:rFonts w:ascii="Times New Roman" w:hAnsi="Times New Roman" w:cs="Times New Roman"/>
          <w:sz w:val="26"/>
          <w:szCs w:val="26"/>
          <w:lang w:val="en-US"/>
        </w:rPr>
        <w:t xml:space="preserve">. They have to </w:t>
      </w:r>
      <w:r w:rsidR="00471020">
        <w:rPr>
          <w:rFonts w:ascii="Times New Roman" w:hAnsi="Times New Roman" w:cs="Times New Roman"/>
          <w:sz w:val="26"/>
          <w:szCs w:val="26"/>
          <w:lang w:val="en-US"/>
        </w:rPr>
        <w:t>spend</w:t>
      </w:r>
      <w:r w:rsidR="00471020"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 xml:space="preserve">at least 30,000 euros per year, while the maximum yearly credit for each beneficiary is established at 20 million euros. To </w:t>
      </w:r>
      <w:r w:rsidR="00471020">
        <w:rPr>
          <w:rFonts w:ascii="Times New Roman" w:hAnsi="Times New Roman" w:cs="Times New Roman"/>
          <w:sz w:val="26"/>
          <w:szCs w:val="26"/>
          <w:lang w:val="en-US"/>
        </w:rPr>
        <w:t xml:space="preserve">see </w:t>
      </w:r>
      <w:r w:rsidRPr="00486C8B">
        <w:rPr>
          <w:rFonts w:ascii="Times New Roman" w:hAnsi="Times New Roman" w:cs="Times New Roman"/>
          <w:sz w:val="26"/>
          <w:szCs w:val="26"/>
          <w:lang w:val="en-US"/>
        </w:rPr>
        <w:t xml:space="preserve"> the benefit</w:t>
      </w:r>
      <w:r w:rsidR="00216DC5">
        <w:rPr>
          <w:rFonts w:ascii="Times New Roman" w:hAnsi="Times New Roman" w:cs="Times New Roman"/>
          <w:sz w:val="26"/>
          <w:szCs w:val="26"/>
          <w:lang w:val="en-US"/>
        </w:rPr>
        <w:t>s</w:t>
      </w:r>
      <w:r w:rsidR="00471020">
        <w:rPr>
          <w:rFonts w:ascii="Times New Roman" w:hAnsi="Times New Roman" w:cs="Times New Roman"/>
          <w:sz w:val="26"/>
          <w:szCs w:val="26"/>
          <w:lang w:val="en-US"/>
        </w:rPr>
        <w:t xml:space="preserve"> applied</w:t>
      </w:r>
      <w:r w:rsidR="00292477">
        <w:rPr>
          <w:rFonts w:ascii="Times New Roman" w:hAnsi="Times New Roman" w:cs="Times New Roman"/>
          <w:sz w:val="26"/>
          <w:szCs w:val="26"/>
          <w:lang w:val="en-US"/>
        </w:rPr>
        <w:t>,</w:t>
      </w:r>
      <w:r w:rsidRPr="00486C8B">
        <w:rPr>
          <w:rFonts w:ascii="Times New Roman" w:hAnsi="Times New Roman" w:cs="Times New Roman"/>
          <w:sz w:val="26"/>
          <w:szCs w:val="26"/>
          <w:lang w:val="en-US"/>
        </w:rPr>
        <w:t xml:space="preserve"> taxpayers have to support R&amp;D qualifying costs between 2015 and 2020. The eligible expenses are: </w:t>
      </w:r>
    </w:p>
    <w:p w14:paraId="6CD7A9F3" w14:textId="77777777" w:rsidR="00246206" w:rsidRPr="00486C8B" w:rsidRDefault="006A0D57" w:rsidP="008F27F2">
      <w:pPr>
        <w:numPr>
          <w:ilvl w:val="0"/>
          <w:numId w:val="8"/>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costs connected with workers employed in the above-mentioned R&amp;D activities; </w:t>
      </w:r>
    </w:p>
    <w:p w14:paraId="289FBE53" w14:textId="77777777" w:rsidR="00246206" w:rsidRPr="00486C8B" w:rsidRDefault="006A0D57" w:rsidP="008F27F2">
      <w:pPr>
        <w:numPr>
          <w:ilvl w:val="0"/>
          <w:numId w:val="8"/>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depreciation charges related to the assets employed to carry on the activities/projects; </w:t>
      </w:r>
    </w:p>
    <w:p w14:paraId="13553120" w14:textId="77777777" w:rsidR="00246206" w:rsidRPr="00486C8B" w:rsidRDefault="006A0D57" w:rsidP="008F27F2">
      <w:pPr>
        <w:numPr>
          <w:ilvl w:val="0"/>
          <w:numId w:val="8"/>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R&amp;D extra-</w:t>
      </w:r>
      <w:proofErr w:type="spellStart"/>
      <w:r w:rsidRPr="00486C8B">
        <w:rPr>
          <w:rFonts w:ascii="Times New Roman" w:hAnsi="Times New Roman" w:cs="Times New Roman"/>
          <w:sz w:val="26"/>
          <w:szCs w:val="26"/>
          <w:lang w:val="en-US"/>
        </w:rPr>
        <w:t>muros</w:t>
      </w:r>
      <w:proofErr w:type="spellEnd"/>
      <w:r w:rsidRPr="00486C8B">
        <w:rPr>
          <w:rFonts w:ascii="Times New Roman" w:hAnsi="Times New Roman" w:cs="Times New Roman"/>
          <w:sz w:val="26"/>
          <w:szCs w:val="26"/>
          <w:lang w:val="en-US"/>
        </w:rPr>
        <w:t xml:space="preserve"> activities</w:t>
      </w:r>
      <w:r w:rsidR="00AE62BF">
        <w:rPr>
          <w:rFonts w:ascii="Times New Roman" w:hAnsi="Times New Roman" w:cs="Times New Roman"/>
          <w:sz w:val="26"/>
          <w:szCs w:val="26"/>
          <w:lang w:val="en-US"/>
        </w:rPr>
        <w:t xml:space="preserve"> bought on the base of a contract signed with</w:t>
      </w:r>
      <w:r w:rsidRPr="00486C8B">
        <w:rPr>
          <w:rFonts w:ascii="Times New Roman" w:hAnsi="Times New Roman" w:cs="Times New Roman"/>
          <w:sz w:val="26"/>
          <w:szCs w:val="26"/>
          <w:lang w:val="en-US"/>
        </w:rPr>
        <w:t xml:space="preserve"> universities, other research institutes and equivalent bodies and other enterprises; </w:t>
      </w:r>
    </w:p>
    <w:p w14:paraId="464A4A3A" w14:textId="77777777" w:rsidR="00246206" w:rsidRPr="00AE62BF" w:rsidRDefault="006A0D57" w:rsidP="008F27F2">
      <w:pPr>
        <w:numPr>
          <w:ilvl w:val="0"/>
          <w:numId w:val="8"/>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technical expertise, industrial and biotechnological patents.</w:t>
      </w:r>
    </w:p>
    <w:p w14:paraId="2B0E765A" w14:textId="3522E753" w:rsidR="00AE62BF" w:rsidRPr="00486C8B" w:rsidRDefault="00AE62BF" w:rsidP="00AE62BF">
      <w:pPr>
        <w:spacing w:after="0" w:line="360" w:lineRule="auto"/>
        <w:ind w:left="709" w:firstLine="425"/>
        <w:rPr>
          <w:rFonts w:ascii="Times New Roman" w:eastAsia="Times New Roman" w:hAnsi="Times New Roman" w:cs="Times New Roman"/>
          <w:sz w:val="26"/>
          <w:szCs w:val="26"/>
          <w:lang w:val="en-US"/>
        </w:rPr>
      </w:pPr>
      <w:r w:rsidRPr="00AE62BF">
        <w:rPr>
          <w:rFonts w:ascii="Times New Roman" w:eastAsia="Times New Roman" w:hAnsi="Times New Roman" w:cs="Times New Roman"/>
          <w:sz w:val="26"/>
          <w:szCs w:val="26"/>
          <w:lang w:val="en-US"/>
        </w:rPr>
        <w:t xml:space="preserve">R&amp;D </w:t>
      </w:r>
      <w:r>
        <w:rPr>
          <w:rFonts w:ascii="Times New Roman" w:eastAsia="Times New Roman" w:hAnsi="Times New Roman" w:cs="Times New Roman"/>
          <w:sz w:val="26"/>
          <w:szCs w:val="26"/>
          <w:lang w:val="en-US"/>
        </w:rPr>
        <w:t>tax</w:t>
      </w:r>
      <w:r w:rsidRPr="00AE62BF">
        <w:rPr>
          <w:rFonts w:ascii="Times New Roman" w:eastAsia="Times New Roman" w:hAnsi="Times New Roman" w:cs="Times New Roman"/>
          <w:sz w:val="26"/>
          <w:szCs w:val="26"/>
          <w:lang w:val="en-US"/>
        </w:rPr>
        <w:t xml:space="preserve"> credit is a general measure; taxpayers can  benefit of R&amp;D </w:t>
      </w:r>
      <w:r>
        <w:rPr>
          <w:rFonts w:ascii="Times New Roman" w:eastAsia="Times New Roman" w:hAnsi="Times New Roman" w:cs="Times New Roman"/>
          <w:sz w:val="26"/>
          <w:szCs w:val="26"/>
          <w:lang w:val="en-US"/>
        </w:rPr>
        <w:t xml:space="preserve">tax </w:t>
      </w:r>
      <w:r w:rsidRPr="00AE62BF">
        <w:rPr>
          <w:rFonts w:ascii="Times New Roman" w:eastAsia="Times New Roman" w:hAnsi="Times New Roman" w:cs="Times New Roman"/>
          <w:sz w:val="26"/>
          <w:szCs w:val="26"/>
          <w:lang w:val="en-US"/>
        </w:rPr>
        <w:t xml:space="preserve">credit jointly with other incentives, unless the rules of </w:t>
      </w:r>
      <w:r w:rsidR="00471020">
        <w:rPr>
          <w:rFonts w:ascii="Times New Roman" w:eastAsia="Times New Roman" w:hAnsi="Times New Roman" w:cs="Times New Roman"/>
          <w:sz w:val="26"/>
          <w:szCs w:val="26"/>
          <w:lang w:val="en-US"/>
        </w:rPr>
        <w:t>these</w:t>
      </w:r>
      <w:r w:rsidR="00471020" w:rsidRPr="00AE62BF">
        <w:rPr>
          <w:rFonts w:ascii="Times New Roman" w:eastAsia="Times New Roman" w:hAnsi="Times New Roman" w:cs="Times New Roman"/>
          <w:sz w:val="26"/>
          <w:szCs w:val="26"/>
          <w:lang w:val="en-US"/>
        </w:rPr>
        <w:t xml:space="preserve"> </w:t>
      </w:r>
      <w:r w:rsidRPr="00AE62BF">
        <w:rPr>
          <w:rFonts w:ascii="Times New Roman" w:eastAsia="Times New Roman" w:hAnsi="Times New Roman" w:cs="Times New Roman"/>
          <w:sz w:val="26"/>
          <w:szCs w:val="26"/>
          <w:lang w:val="en-US"/>
        </w:rPr>
        <w:t xml:space="preserve">incentives </w:t>
      </w:r>
      <w:r w:rsidR="00471020">
        <w:rPr>
          <w:rFonts w:ascii="Times New Roman" w:eastAsia="Times New Roman" w:hAnsi="Times New Roman" w:cs="Times New Roman"/>
          <w:sz w:val="26"/>
          <w:szCs w:val="26"/>
          <w:lang w:val="en-US"/>
        </w:rPr>
        <w:t xml:space="preserve">are otherwise stated </w:t>
      </w:r>
      <w:r w:rsidRPr="00AE62B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Pr="00AE62BF">
        <w:rPr>
          <w:rFonts w:ascii="Times New Roman" w:eastAsia="Times New Roman" w:hAnsi="Times New Roman" w:cs="Times New Roman"/>
          <w:sz w:val="26"/>
          <w:szCs w:val="26"/>
          <w:lang w:val="en-US"/>
        </w:rPr>
        <w:t>In any case, the sum of the tax credit and the other incentives, relating to the same eligible expenses, can</w:t>
      </w:r>
      <w:r w:rsidR="00216DC5">
        <w:rPr>
          <w:rFonts w:ascii="Times New Roman" w:eastAsia="Times New Roman" w:hAnsi="Times New Roman" w:cs="Times New Roman"/>
          <w:sz w:val="26"/>
          <w:szCs w:val="26"/>
          <w:lang w:val="en-US"/>
        </w:rPr>
        <w:t>no</w:t>
      </w:r>
      <w:r w:rsidRPr="00AE62BF">
        <w:rPr>
          <w:rFonts w:ascii="Times New Roman" w:eastAsia="Times New Roman" w:hAnsi="Times New Roman" w:cs="Times New Roman"/>
          <w:sz w:val="26"/>
          <w:szCs w:val="26"/>
          <w:lang w:val="en-US"/>
        </w:rPr>
        <w:t>t exceed the said eligible costs.</w:t>
      </w:r>
    </w:p>
    <w:p w14:paraId="64DF2805" w14:textId="77777777" w:rsidR="00246206" w:rsidRPr="00486C8B" w:rsidRDefault="00246206">
      <w:pPr>
        <w:spacing w:after="0" w:line="360" w:lineRule="auto"/>
        <w:ind w:left="709" w:firstLine="414"/>
        <w:rPr>
          <w:rFonts w:ascii="Times New Roman" w:eastAsia="Times New Roman" w:hAnsi="Times New Roman" w:cs="Times New Roman"/>
          <w:sz w:val="26"/>
          <w:szCs w:val="26"/>
          <w:lang w:val="en-US"/>
        </w:rPr>
      </w:pPr>
    </w:p>
    <w:p w14:paraId="600F330A" w14:textId="77777777" w:rsidR="00246206" w:rsidRPr="00486C8B" w:rsidRDefault="006A0D57">
      <w:pPr>
        <w:numPr>
          <w:ilvl w:val="0"/>
          <w:numId w:val="9"/>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Super-amortization and Extra-amortization</w:t>
      </w:r>
      <w:r w:rsidRPr="00486C8B">
        <w:rPr>
          <w:rFonts w:ascii="Times New Roman" w:hAnsi="Times New Roman" w:cs="Times New Roman"/>
          <w:sz w:val="26"/>
          <w:szCs w:val="26"/>
          <w:lang w:val="en-US"/>
        </w:rPr>
        <w:t xml:space="preserve">. </w:t>
      </w:r>
    </w:p>
    <w:p w14:paraId="4225DDB3" w14:textId="2E4B7E03"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These provisions facilitate business investments by allowing an extra-amortization on the purchase of certain tangible assets, in order to </w:t>
      </w:r>
      <w:r w:rsidR="00475722" w:rsidRPr="00486C8B">
        <w:rPr>
          <w:rFonts w:ascii="Times New Roman" w:hAnsi="Times New Roman" w:cs="Times New Roman"/>
          <w:sz w:val="26"/>
          <w:szCs w:val="26"/>
          <w:lang w:val="en-US"/>
        </w:rPr>
        <w:t>stimulate the renewal of capital goods</w:t>
      </w:r>
      <w:r w:rsidRPr="00486C8B">
        <w:rPr>
          <w:rFonts w:ascii="Times New Roman" w:hAnsi="Times New Roman" w:cs="Times New Roman"/>
          <w:sz w:val="26"/>
          <w:szCs w:val="26"/>
          <w:lang w:val="en-US"/>
        </w:rPr>
        <w:t>.</w:t>
      </w:r>
    </w:p>
    <w:p w14:paraId="41B6F86A" w14:textId="77777777" w:rsidR="00292477" w:rsidRDefault="007E67AA">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lastRenderedPageBreak/>
        <w:t>Benefits</w:t>
      </w:r>
      <w:r w:rsidRPr="00486C8B">
        <w:rPr>
          <w:rFonts w:ascii="Times New Roman" w:hAnsi="Times New Roman" w:cs="Times New Roman"/>
          <w:sz w:val="26"/>
          <w:szCs w:val="26"/>
          <w:lang w:val="en-US"/>
        </w:rPr>
        <w:t>. The fiscal amortization charges</w:t>
      </w:r>
      <w:r w:rsidRPr="00486C8B">
        <w:rPr>
          <w:lang w:val="en-US"/>
        </w:rPr>
        <w:t xml:space="preserve"> </w:t>
      </w:r>
      <w:r w:rsidRPr="00486C8B">
        <w:rPr>
          <w:rFonts w:ascii="Times New Roman" w:hAnsi="Times New Roman" w:cs="Times New Roman"/>
          <w:sz w:val="26"/>
          <w:szCs w:val="26"/>
          <w:lang w:val="en-US"/>
        </w:rPr>
        <w:t xml:space="preserve">in relation to purchases of new capital goods will increase their value by 40% or 150% with respect to their book value, for the whole amortization period. </w:t>
      </w:r>
    </w:p>
    <w:p w14:paraId="2364D2ED" w14:textId="226BA766"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sz w:val="26"/>
          <w:szCs w:val="26"/>
          <w:lang w:val="en-US"/>
        </w:rPr>
        <w:t xml:space="preserve">. Enterprises of any type are entitled to benefit of </w:t>
      </w:r>
      <w:r w:rsidR="002E302D" w:rsidRPr="00486C8B">
        <w:rPr>
          <w:rFonts w:ascii="Times New Roman" w:hAnsi="Times New Roman" w:cs="Times New Roman"/>
          <w:sz w:val="26"/>
          <w:szCs w:val="26"/>
          <w:lang w:val="en-US"/>
        </w:rPr>
        <w:t xml:space="preserve">the </w:t>
      </w:r>
      <w:r w:rsidRPr="00486C8B">
        <w:rPr>
          <w:rFonts w:ascii="Times New Roman" w:hAnsi="Times New Roman" w:cs="Times New Roman"/>
          <w:sz w:val="26"/>
          <w:szCs w:val="26"/>
          <w:lang w:val="en-US"/>
        </w:rPr>
        <w:t>increased fiscal amortization charges. The benefits are also granted to Permanent Establishment</w:t>
      </w:r>
      <w:r w:rsidR="00471020">
        <w:rPr>
          <w:rFonts w:ascii="Times New Roman" w:hAnsi="Times New Roman" w:cs="Times New Roman"/>
          <w:sz w:val="26"/>
          <w:szCs w:val="26"/>
          <w:lang w:val="en-US"/>
        </w:rPr>
        <w:t>s</w:t>
      </w:r>
      <w:r w:rsidRPr="00486C8B">
        <w:rPr>
          <w:rFonts w:ascii="Times New Roman" w:hAnsi="Times New Roman" w:cs="Times New Roman"/>
          <w:sz w:val="26"/>
          <w:szCs w:val="26"/>
          <w:lang w:val="en-US"/>
        </w:rPr>
        <w:t xml:space="preserve"> in Italy of non-resident investors.</w:t>
      </w:r>
    </w:p>
    <w:p w14:paraId="6DFC8E75" w14:textId="171135BE"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purchases</w:t>
      </w:r>
      <w:r w:rsidRPr="00486C8B">
        <w:rPr>
          <w:rFonts w:ascii="Times New Roman" w:hAnsi="Times New Roman" w:cs="Times New Roman"/>
          <w:sz w:val="26"/>
          <w:szCs w:val="26"/>
          <w:lang w:val="en-US"/>
        </w:rPr>
        <w:t>: The increased amortization charge</w:t>
      </w:r>
      <w:r w:rsidR="00475722" w:rsidRPr="00486C8B">
        <w:rPr>
          <w:rFonts w:ascii="Times New Roman" w:hAnsi="Times New Roman" w:cs="Times New Roman"/>
          <w:sz w:val="26"/>
          <w:szCs w:val="26"/>
          <w:lang w:val="en-US"/>
        </w:rPr>
        <w:t xml:space="preserve"> fixed at 40%</w:t>
      </w:r>
      <w:r w:rsidRPr="00486C8B">
        <w:rPr>
          <w:rFonts w:ascii="Times New Roman" w:hAnsi="Times New Roman" w:cs="Times New Roman"/>
          <w:sz w:val="26"/>
          <w:szCs w:val="26"/>
          <w:lang w:val="en-US"/>
        </w:rPr>
        <w:t xml:space="preserve"> </w:t>
      </w:r>
      <w:r w:rsidR="002E302D" w:rsidRPr="00486C8B">
        <w:rPr>
          <w:rFonts w:ascii="Times New Roman" w:hAnsi="Times New Roman" w:cs="Times New Roman"/>
          <w:sz w:val="26"/>
          <w:szCs w:val="26"/>
          <w:lang w:val="en-US"/>
        </w:rPr>
        <w:t xml:space="preserve">(super-amortization) </w:t>
      </w:r>
      <w:r w:rsidRPr="00486C8B">
        <w:rPr>
          <w:rFonts w:ascii="Times New Roman" w:hAnsi="Times New Roman" w:cs="Times New Roman"/>
          <w:sz w:val="26"/>
          <w:szCs w:val="26"/>
          <w:lang w:val="en-US"/>
        </w:rPr>
        <w:t xml:space="preserve">is applicable in relation to purchases realized from 15 October 2015 to 31 December 2017. The </w:t>
      </w:r>
      <w:r w:rsidR="00471020">
        <w:rPr>
          <w:rFonts w:ascii="Times New Roman" w:hAnsi="Times New Roman" w:cs="Times New Roman"/>
          <w:sz w:val="26"/>
          <w:szCs w:val="26"/>
          <w:lang w:val="en-US"/>
        </w:rPr>
        <w:t>purchase</w:t>
      </w:r>
      <w:r w:rsidR="00471020"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period is extended up to 30 June 2018, on condition that purchase orders have been accepted by the seller by 31 December 2017 and that at least 20% of their price has been paid by the same date. The amortization charges are increased up to 150% of their value (Extra-amortization) for some listed “smart equipment” which is allowed to benefit from specific digital and technological transformation processes under the model promoted by the Italian Government plan for industrial growth named “Industry 4.0 Plan.” Another additional 40% super–amortization is also introduced for certain intangible assets such as software, IT systems and platforms related to the above mentioned “Industry 4.0 Plan”.</w:t>
      </w:r>
    </w:p>
    <w:p w14:paraId="0CF21FD5" w14:textId="77777777" w:rsidR="00D05A70" w:rsidRPr="00486C8B" w:rsidRDefault="00D05A70">
      <w:pPr>
        <w:spacing w:after="0" w:line="360" w:lineRule="auto"/>
        <w:ind w:left="709" w:firstLine="414"/>
        <w:rPr>
          <w:rFonts w:ascii="Times New Roman" w:hAnsi="Times New Roman" w:cs="Times New Roman"/>
          <w:sz w:val="26"/>
          <w:szCs w:val="26"/>
          <w:lang w:val="en-US"/>
        </w:rPr>
      </w:pPr>
    </w:p>
    <w:p w14:paraId="3FBBF5A3" w14:textId="77777777" w:rsidR="00D05A70" w:rsidRPr="00486C8B" w:rsidRDefault="00D05A70" w:rsidP="00D05A70">
      <w:pPr>
        <w:numPr>
          <w:ilvl w:val="0"/>
          <w:numId w:val="9"/>
        </w:numPr>
        <w:spacing w:after="0" w:line="360" w:lineRule="auto"/>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VAT </w:t>
      </w:r>
      <w:r w:rsidR="00A93418">
        <w:rPr>
          <w:rFonts w:ascii="Times New Roman" w:hAnsi="Times New Roman" w:cs="Times New Roman"/>
          <w:b/>
          <w:bCs/>
          <w:i/>
          <w:iCs/>
          <w:sz w:val="26"/>
          <w:szCs w:val="26"/>
          <w:lang w:val="en-US"/>
        </w:rPr>
        <w:t>grouping rules</w:t>
      </w:r>
    </w:p>
    <w:p w14:paraId="28CB3E17" w14:textId="77777777" w:rsidR="00D05A70" w:rsidRPr="00486C8B" w:rsidRDefault="00D05A70" w:rsidP="00D05A70">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i/>
          <w:sz w:val="26"/>
          <w:szCs w:val="26"/>
          <w:lang w:val="en-US"/>
        </w:rPr>
        <w:t>Aim</w:t>
      </w:r>
      <w:r w:rsidRPr="00486C8B">
        <w:rPr>
          <w:rFonts w:ascii="Times New Roman" w:hAnsi="Times New Roman" w:cs="Times New Roman"/>
          <w:sz w:val="26"/>
          <w:szCs w:val="26"/>
          <w:lang w:val="en-US"/>
        </w:rPr>
        <w:t xml:space="preserve">. In order to simplify </w:t>
      </w:r>
      <w:r w:rsidR="00475722" w:rsidRPr="00486C8B">
        <w:rPr>
          <w:rFonts w:ascii="Times New Roman" w:hAnsi="Times New Roman" w:cs="Times New Roman"/>
          <w:sz w:val="26"/>
          <w:szCs w:val="26"/>
          <w:lang w:val="en-US"/>
        </w:rPr>
        <w:t xml:space="preserve">the application of VAT rules for company groups </w:t>
      </w:r>
      <w:r w:rsidRPr="00486C8B">
        <w:rPr>
          <w:rFonts w:ascii="Times New Roman" w:hAnsi="Times New Roman" w:cs="Times New Roman"/>
          <w:sz w:val="26"/>
          <w:szCs w:val="26"/>
          <w:lang w:val="en-US"/>
        </w:rPr>
        <w:t xml:space="preserve">and </w:t>
      </w:r>
      <w:r w:rsidR="00475722" w:rsidRPr="00486C8B">
        <w:rPr>
          <w:rFonts w:ascii="Times New Roman" w:hAnsi="Times New Roman" w:cs="Times New Roman"/>
          <w:sz w:val="26"/>
          <w:szCs w:val="26"/>
          <w:lang w:val="en-US"/>
        </w:rPr>
        <w:t xml:space="preserve">to </w:t>
      </w:r>
      <w:r w:rsidRPr="00486C8B">
        <w:rPr>
          <w:rFonts w:ascii="Times New Roman" w:hAnsi="Times New Roman" w:cs="Times New Roman"/>
          <w:sz w:val="26"/>
          <w:szCs w:val="26"/>
          <w:lang w:val="en-US"/>
        </w:rPr>
        <w:t xml:space="preserve">reduce fiscal burdens, special VAT grouping rules have been introduced, running from FY 2018. </w:t>
      </w:r>
    </w:p>
    <w:p w14:paraId="1819C3F6" w14:textId="77777777" w:rsidR="007E67AA" w:rsidRPr="00486C8B" w:rsidRDefault="007E67AA" w:rsidP="007E67AA">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i/>
          <w:sz w:val="26"/>
          <w:szCs w:val="26"/>
          <w:lang w:val="en-US"/>
        </w:rPr>
        <w:t>Benefits</w:t>
      </w:r>
      <w:r w:rsidRPr="00486C8B">
        <w:rPr>
          <w:rFonts w:ascii="Times New Roman" w:hAnsi="Times New Roman" w:cs="Times New Roman"/>
          <w:sz w:val="26"/>
          <w:szCs w:val="26"/>
          <w:lang w:val="en-US"/>
        </w:rPr>
        <w:t>. As a consequence of the application of this regime, the group itself will be considered as a single VAT taxable person. Therefore:</w:t>
      </w:r>
    </w:p>
    <w:p w14:paraId="2F7F7269" w14:textId="77777777" w:rsidR="007E67AA" w:rsidRPr="00486C8B" w:rsidRDefault="007E67AA" w:rsidP="007E67AA">
      <w:pPr>
        <w:numPr>
          <w:ilvl w:val="0"/>
          <w:numId w:val="24"/>
        </w:numPr>
        <w:spacing w:after="0" w:line="360" w:lineRule="auto"/>
        <w:ind w:left="1134" w:firstLine="0"/>
        <w:rPr>
          <w:rFonts w:ascii="Times New Roman" w:hAnsi="Times New Roman" w:cs="Times New Roman"/>
          <w:sz w:val="26"/>
          <w:szCs w:val="26"/>
          <w:lang w:val="en-US"/>
        </w:rPr>
      </w:pPr>
      <w:r w:rsidRPr="00486C8B">
        <w:rPr>
          <w:rFonts w:ascii="Times New Roman" w:hAnsi="Times New Roman" w:cs="Times New Roman"/>
          <w:sz w:val="26"/>
          <w:szCs w:val="26"/>
          <w:lang w:val="en-US"/>
        </w:rPr>
        <w:t>transactions carried out between the companies of the group will not be subject to VAT;</w:t>
      </w:r>
    </w:p>
    <w:p w14:paraId="4754E8E8" w14:textId="77777777" w:rsidR="007E67AA" w:rsidRPr="00486C8B" w:rsidRDefault="007E67AA" w:rsidP="007E67AA">
      <w:pPr>
        <w:numPr>
          <w:ilvl w:val="0"/>
          <w:numId w:val="24"/>
        </w:numPr>
        <w:spacing w:after="0" w:line="360" w:lineRule="auto"/>
        <w:ind w:left="1134" w:firstLine="0"/>
        <w:rPr>
          <w:rFonts w:ascii="Times New Roman" w:hAnsi="Times New Roman" w:cs="Times New Roman"/>
          <w:sz w:val="26"/>
          <w:szCs w:val="26"/>
          <w:lang w:val="en-US"/>
        </w:rPr>
      </w:pPr>
      <w:r w:rsidRPr="00486C8B">
        <w:rPr>
          <w:rFonts w:ascii="Times New Roman" w:hAnsi="Times New Roman" w:cs="Times New Roman"/>
          <w:sz w:val="26"/>
          <w:szCs w:val="26"/>
          <w:lang w:val="en-US"/>
        </w:rPr>
        <w:t>transactions carried out between a group member and a third party will be treated as being made by the group as an entity.</w:t>
      </w:r>
    </w:p>
    <w:p w14:paraId="1F77E00E" w14:textId="77777777" w:rsidR="00D05A70" w:rsidRPr="00486C8B" w:rsidRDefault="00D05A70" w:rsidP="00D05A70">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i/>
          <w:sz w:val="26"/>
          <w:szCs w:val="26"/>
          <w:lang w:val="en-US"/>
        </w:rPr>
        <w:lastRenderedPageBreak/>
        <w:t>Qualifying persons</w:t>
      </w:r>
      <w:r w:rsidRPr="00486C8B">
        <w:rPr>
          <w:rFonts w:ascii="Times New Roman" w:hAnsi="Times New Roman" w:cs="Times New Roman"/>
          <w:sz w:val="26"/>
          <w:szCs w:val="26"/>
          <w:lang w:val="en-US"/>
        </w:rPr>
        <w:t>. The option is reserved to companies closely bound</w:t>
      </w:r>
      <w:r w:rsidR="00475722"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by the following financial, economic and organizational links:</w:t>
      </w:r>
    </w:p>
    <w:p w14:paraId="54DB2F68" w14:textId="05316482" w:rsidR="00D05A70" w:rsidRPr="00486C8B" w:rsidRDefault="00D05A70" w:rsidP="008F27F2">
      <w:pPr>
        <w:numPr>
          <w:ilvl w:val="0"/>
          <w:numId w:val="24"/>
        </w:numPr>
        <w:spacing w:after="0" w:line="360" w:lineRule="auto"/>
        <w:ind w:left="1134" w:firstLine="0"/>
        <w:rPr>
          <w:rFonts w:ascii="Times New Roman" w:hAnsi="Times New Roman" w:cs="Times New Roman"/>
          <w:sz w:val="26"/>
          <w:szCs w:val="26"/>
          <w:lang w:val="en-US"/>
        </w:rPr>
      </w:pPr>
      <w:r w:rsidRPr="00486C8B">
        <w:rPr>
          <w:rFonts w:ascii="Times New Roman" w:hAnsi="Times New Roman" w:cs="Times New Roman"/>
          <w:sz w:val="26"/>
          <w:szCs w:val="26"/>
          <w:lang w:val="en-US"/>
        </w:rPr>
        <w:t>they have to be subject to a common control, through a direct or indirect participation granting 50% or more of voting rights; this requirement is satisfied even if the common controlling party is based in a foreign Country with which an exchange of information instrument is in force with Italy (</w:t>
      </w:r>
      <w:r w:rsidR="00471020">
        <w:rPr>
          <w:rFonts w:ascii="Times New Roman" w:hAnsi="Times New Roman" w:cs="Times New Roman"/>
          <w:sz w:val="26"/>
          <w:szCs w:val="26"/>
          <w:lang w:val="en-US"/>
        </w:rPr>
        <w:t xml:space="preserve">i.e. </w:t>
      </w:r>
      <w:r w:rsidRPr="00486C8B">
        <w:rPr>
          <w:rFonts w:ascii="Times New Roman" w:hAnsi="Times New Roman" w:cs="Times New Roman"/>
          <w:sz w:val="26"/>
          <w:szCs w:val="26"/>
          <w:lang w:val="en-US"/>
        </w:rPr>
        <w:t>financial link);</w:t>
      </w:r>
    </w:p>
    <w:p w14:paraId="77B69D11" w14:textId="52E990A3" w:rsidR="00D05A70" w:rsidRPr="00486C8B" w:rsidRDefault="00D05A70" w:rsidP="008F27F2">
      <w:pPr>
        <w:numPr>
          <w:ilvl w:val="0"/>
          <w:numId w:val="24"/>
        </w:numPr>
        <w:spacing w:after="0" w:line="360" w:lineRule="auto"/>
        <w:ind w:left="1134" w:firstLine="0"/>
        <w:rPr>
          <w:rFonts w:ascii="Times New Roman" w:hAnsi="Times New Roman" w:cs="Times New Roman"/>
          <w:sz w:val="26"/>
          <w:szCs w:val="26"/>
          <w:lang w:val="en-US"/>
        </w:rPr>
      </w:pPr>
      <w:r w:rsidRPr="00486C8B">
        <w:rPr>
          <w:rFonts w:ascii="Times New Roman" w:hAnsi="Times New Roman" w:cs="Times New Roman"/>
          <w:sz w:val="26"/>
          <w:szCs w:val="26"/>
          <w:lang w:val="en-US"/>
        </w:rPr>
        <w:t>they must perform the same core business and economic activities, or, alternatively, the activities must be complementary, ancillary and auxiliary with respect to the other group members (</w:t>
      </w:r>
      <w:r w:rsidR="00471020">
        <w:rPr>
          <w:rFonts w:ascii="Times New Roman" w:hAnsi="Times New Roman" w:cs="Times New Roman"/>
          <w:sz w:val="26"/>
          <w:szCs w:val="26"/>
          <w:lang w:val="en-US"/>
        </w:rPr>
        <w:t xml:space="preserve">i.e. </w:t>
      </w:r>
      <w:r w:rsidRPr="00486C8B">
        <w:rPr>
          <w:rFonts w:ascii="Times New Roman" w:hAnsi="Times New Roman" w:cs="Times New Roman"/>
          <w:sz w:val="26"/>
          <w:szCs w:val="26"/>
          <w:lang w:val="en-US"/>
        </w:rPr>
        <w:t>economic link);</w:t>
      </w:r>
    </w:p>
    <w:p w14:paraId="33B491C8" w14:textId="655EAD02" w:rsidR="00D05A70" w:rsidRPr="00486C8B" w:rsidRDefault="00D05A70" w:rsidP="008F27F2">
      <w:pPr>
        <w:numPr>
          <w:ilvl w:val="0"/>
          <w:numId w:val="24"/>
        </w:numPr>
        <w:spacing w:after="0" w:line="360" w:lineRule="auto"/>
        <w:ind w:left="1134" w:firstLine="0"/>
        <w:rPr>
          <w:rFonts w:ascii="Times New Roman" w:hAnsi="Times New Roman" w:cs="Times New Roman"/>
          <w:sz w:val="26"/>
          <w:szCs w:val="26"/>
          <w:lang w:val="en-US"/>
        </w:rPr>
      </w:pPr>
      <w:r w:rsidRPr="00486C8B">
        <w:rPr>
          <w:rFonts w:ascii="Times New Roman" w:hAnsi="Times New Roman" w:cs="Times New Roman"/>
          <w:sz w:val="26"/>
          <w:szCs w:val="26"/>
          <w:lang w:val="en-US"/>
        </w:rPr>
        <w:t>a coordination between the decision making bodies of the involved entities has to exist (</w:t>
      </w:r>
      <w:r w:rsidR="00471020">
        <w:rPr>
          <w:rFonts w:ascii="Times New Roman" w:hAnsi="Times New Roman" w:cs="Times New Roman"/>
          <w:sz w:val="26"/>
          <w:szCs w:val="26"/>
          <w:lang w:val="en-US"/>
        </w:rPr>
        <w:t xml:space="preserve">i.e. </w:t>
      </w:r>
      <w:r w:rsidRPr="00486C8B">
        <w:rPr>
          <w:rFonts w:ascii="Times New Roman" w:hAnsi="Times New Roman" w:cs="Times New Roman"/>
          <w:sz w:val="26"/>
          <w:szCs w:val="26"/>
          <w:lang w:val="en-US"/>
        </w:rPr>
        <w:t>organizational link).</w:t>
      </w:r>
    </w:p>
    <w:p w14:paraId="31498232" w14:textId="7C1FFFDD" w:rsidR="00D05A70" w:rsidRPr="00486C8B" w:rsidRDefault="00D05A70" w:rsidP="00D05A70">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Once the election</w:t>
      </w:r>
      <w:r w:rsidR="002E302D" w:rsidRPr="00486C8B">
        <w:rPr>
          <w:rFonts w:ascii="Times New Roman" w:hAnsi="Times New Roman" w:cs="Times New Roman"/>
          <w:sz w:val="26"/>
          <w:szCs w:val="26"/>
          <w:lang w:val="en-US"/>
        </w:rPr>
        <w:t xml:space="preserve"> for this regime</w:t>
      </w:r>
      <w:r w:rsidRPr="00486C8B">
        <w:rPr>
          <w:rFonts w:ascii="Times New Roman" w:hAnsi="Times New Roman" w:cs="Times New Roman"/>
          <w:sz w:val="26"/>
          <w:szCs w:val="26"/>
          <w:lang w:val="en-US"/>
        </w:rPr>
        <w:t xml:space="preserve"> is made, all entities fulfilling the requirements must adhere to the group (</w:t>
      </w:r>
      <w:r w:rsidR="00471020">
        <w:rPr>
          <w:rFonts w:ascii="Times New Roman" w:hAnsi="Times New Roman" w:cs="Times New Roman"/>
          <w:sz w:val="26"/>
          <w:szCs w:val="26"/>
          <w:lang w:val="en-US"/>
        </w:rPr>
        <w:t xml:space="preserve">i.e. </w:t>
      </w:r>
      <w:r w:rsidRPr="00486C8B">
        <w:rPr>
          <w:rFonts w:ascii="Times New Roman" w:hAnsi="Times New Roman" w:cs="Times New Roman"/>
          <w:sz w:val="26"/>
          <w:szCs w:val="26"/>
          <w:lang w:val="en-US"/>
        </w:rPr>
        <w:t>All-in/All-out)</w:t>
      </w:r>
    </w:p>
    <w:p w14:paraId="6C147827" w14:textId="77777777" w:rsidR="00246206" w:rsidRPr="00486C8B" w:rsidRDefault="00246206" w:rsidP="00D05A70">
      <w:pPr>
        <w:spacing w:after="0" w:line="360" w:lineRule="auto"/>
        <w:rPr>
          <w:rFonts w:ascii="Times New Roman" w:eastAsia="Times New Roman" w:hAnsi="Times New Roman" w:cs="Times New Roman"/>
          <w:sz w:val="26"/>
          <w:szCs w:val="26"/>
          <w:lang w:val="en-US"/>
        </w:rPr>
      </w:pPr>
    </w:p>
    <w:p w14:paraId="68524EA7" w14:textId="77777777" w:rsidR="00246206" w:rsidRPr="00486C8B" w:rsidRDefault="00D05A70">
      <w:pPr>
        <w:spacing w:after="0" w:line="360" w:lineRule="auto"/>
        <w:ind w:left="709" w:firstLine="414"/>
        <w:rPr>
          <w:rFonts w:ascii="Times New Roman" w:hAnsi="Times New Roman" w:cs="Times New Roman"/>
          <w:b/>
          <w:bCs/>
          <w:sz w:val="26"/>
          <w:szCs w:val="26"/>
          <w:lang w:val="en-US"/>
        </w:rPr>
      </w:pPr>
      <w:r w:rsidRPr="00486C8B">
        <w:rPr>
          <w:rFonts w:ascii="Times New Roman" w:hAnsi="Times New Roman" w:cs="Times New Roman"/>
          <w:b/>
          <w:bCs/>
          <w:i/>
          <w:iCs/>
          <w:sz w:val="26"/>
          <w:szCs w:val="26"/>
          <w:lang w:val="en-US"/>
        </w:rPr>
        <w:t>F</w:t>
      </w:r>
      <w:r w:rsidR="00E91498" w:rsidRPr="00486C8B">
        <w:rPr>
          <w:rFonts w:ascii="Times New Roman" w:hAnsi="Times New Roman" w:cs="Times New Roman"/>
          <w:b/>
          <w:bCs/>
          <w:i/>
          <w:iCs/>
          <w:sz w:val="26"/>
          <w:szCs w:val="26"/>
          <w:lang w:val="en-US"/>
        </w:rPr>
        <w:t>.</w:t>
      </w:r>
      <w:r w:rsidR="006A0D57" w:rsidRPr="00486C8B">
        <w:rPr>
          <w:rFonts w:ascii="Times New Roman" w:hAnsi="Times New Roman" w:cs="Times New Roman"/>
          <w:b/>
          <w:bCs/>
          <w:i/>
          <w:iCs/>
          <w:sz w:val="26"/>
          <w:szCs w:val="26"/>
          <w:lang w:val="en-US"/>
        </w:rPr>
        <w:tab/>
        <w:t xml:space="preserve"> New Residents regime</w:t>
      </w:r>
      <w:r w:rsidR="006A0D57" w:rsidRPr="00486C8B">
        <w:rPr>
          <w:rFonts w:ascii="Times New Roman" w:hAnsi="Times New Roman" w:cs="Times New Roman"/>
          <w:b/>
          <w:bCs/>
          <w:sz w:val="26"/>
          <w:szCs w:val="26"/>
          <w:lang w:val="en-US"/>
        </w:rPr>
        <w:t>.</w:t>
      </w:r>
    </w:p>
    <w:p w14:paraId="38A03875"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b/>
          <w:bCs/>
          <w:sz w:val="26"/>
          <w:szCs w:val="26"/>
          <w:lang w:val="en-US"/>
        </w:rPr>
        <w:t xml:space="preserve">. </w:t>
      </w:r>
      <w:r w:rsidR="00475722" w:rsidRPr="00486C8B">
        <w:rPr>
          <w:rFonts w:ascii="Times New Roman" w:hAnsi="Times New Roman" w:cs="Times New Roman"/>
          <w:sz w:val="26"/>
          <w:szCs w:val="26"/>
          <w:lang w:val="en-US"/>
        </w:rPr>
        <w:t xml:space="preserve"> The</w:t>
      </w:r>
      <w:r w:rsidRPr="00486C8B">
        <w:rPr>
          <w:rFonts w:ascii="Times New Roman" w:hAnsi="Times New Roman" w:cs="Times New Roman"/>
          <w:sz w:val="26"/>
          <w:szCs w:val="26"/>
          <w:lang w:val="en-US"/>
        </w:rPr>
        <w:t xml:space="preserve"> tax bonus seeks to </w:t>
      </w:r>
      <w:r w:rsidR="00475722" w:rsidRPr="00486C8B">
        <w:rPr>
          <w:rFonts w:ascii="Times New Roman" w:hAnsi="Times New Roman" w:cs="Times New Roman"/>
          <w:sz w:val="26"/>
          <w:szCs w:val="26"/>
          <w:lang w:val="en-US"/>
        </w:rPr>
        <w:t>enhance investments</w:t>
      </w:r>
      <w:r w:rsidR="00111175" w:rsidRPr="00486C8B">
        <w:rPr>
          <w:rFonts w:ascii="Times New Roman" w:hAnsi="Times New Roman" w:cs="Times New Roman"/>
          <w:sz w:val="26"/>
          <w:szCs w:val="26"/>
          <w:lang w:val="en-US"/>
        </w:rPr>
        <w:t xml:space="preserve"> by</w:t>
      </w:r>
      <w:r w:rsidR="00475722"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attract</w:t>
      </w:r>
      <w:r w:rsidR="00475722" w:rsidRPr="00486C8B">
        <w:rPr>
          <w:rFonts w:ascii="Times New Roman" w:hAnsi="Times New Roman" w:cs="Times New Roman"/>
          <w:sz w:val="26"/>
          <w:szCs w:val="26"/>
          <w:lang w:val="en-US"/>
        </w:rPr>
        <w:t>ing</w:t>
      </w:r>
      <w:r w:rsidRPr="00486C8B">
        <w:rPr>
          <w:rFonts w:ascii="Times New Roman" w:hAnsi="Times New Roman" w:cs="Times New Roman"/>
          <w:sz w:val="26"/>
          <w:szCs w:val="26"/>
          <w:lang w:val="en-US"/>
        </w:rPr>
        <w:t xml:space="preserve"> </w:t>
      </w:r>
      <w:r w:rsidR="00111175" w:rsidRPr="00486C8B">
        <w:rPr>
          <w:rFonts w:ascii="Times New Roman" w:hAnsi="Times New Roman" w:cs="Times New Roman"/>
          <w:sz w:val="26"/>
          <w:szCs w:val="26"/>
          <w:lang w:val="en-US"/>
        </w:rPr>
        <w:t xml:space="preserve">to Italy </w:t>
      </w:r>
      <w:r w:rsidRPr="00486C8B">
        <w:rPr>
          <w:rFonts w:ascii="Times New Roman" w:hAnsi="Times New Roman" w:cs="Times New Roman"/>
          <w:sz w:val="26"/>
          <w:szCs w:val="26"/>
          <w:lang w:val="en-US"/>
        </w:rPr>
        <w:t>high-net-worth individuals</w:t>
      </w:r>
      <w:r w:rsidR="00475722" w:rsidRPr="00486C8B">
        <w:rPr>
          <w:rFonts w:ascii="Times New Roman" w:hAnsi="Times New Roman" w:cs="Times New Roman"/>
          <w:sz w:val="26"/>
          <w:szCs w:val="26"/>
          <w:lang w:val="en-US"/>
        </w:rPr>
        <w:t xml:space="preserve"> with relevant spending capacity</w:t>
      </w:r>
      <w:r w:rsidRPr="00486C8B">
        <w:rPr>
          <w:rFonts w:ascii="Times New Roman" w:hAnsi="Times New Roman" w:cs="Times New Roman"/>
          <w:sz w:val="26"/>
          <w:szCs w:val="26"/>
          <w:lang w:val="en-US"/>
        </w:rPr>
        <w:t>.</w:t>
      </w:r>
      <w:r w:rsidR="00475722" w:rsidRPr="00486C8B">
        <w:rPr>
          <w:rFonts w:ascii="Times New Roman" w:hAnsi="Times New Roman" w:cs="Times New Roman"/>
          <w:sz w:val="26"/>
          <w:szCs w:val="26"/>
          <w:lang w:val="en-US"/>
        </w:rPr>
        <w:t xml:space="preserve"> </w:t>
      </w:r>
    </w:p>
    <w:p w14:paraId="75A2A788" w14:textId="0FC78893" w:rsidR="00014424" w:rsidRPr="00486C8B" w:rsidRDefault="00014424" w:rsidP="00014424">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Benefits</w:t>
      </w:r>
      <w:r w:rsidRPr="00486C8B">
        <w:rPr>
          <w:rFonts w:ascii="Times New Roman" w:hAnsi="Times New Roman" w:cs="Times New Roman"/>
          <w:sz w:val="26"/>
          <w:szCs w:val="26"/>
          <w:lang w:val="en-US"/>
        </w:rPr>
        <w:t>. High-net-worth individuals</w:t>
      </w:r>
      <w:r w:rsidRPr="00486C8B">
        <w:rPr>
          <w:rFonts w:ascii="Times New Roman" w:hAnsi="Times New Roman" w:cs="Times New Roman"/>
          <w:color w:val="1A171B"/>
          <w:sz w:val="26"/>
          <w:szCs w:val="26"/>
          <w:u w:color="1A171B"/>
          <w:lang w:val="en-US"/>
        </w:rPr>
        <w:t xml:space="preserve"> </w:t>
      </w:r>
      <w:r w:rsidRPr="00486C8B">
        <w:rPr>
          <w:rFonts w:ascii="Times New Roman" w:hAnsi="Times New Roman" w:cs="Times New Roman"/>
          <w:sz w:val="26"/>
          <w:szCs w:val="26"/>
          <w:lang w:val="en-US"/>
        </w:rPr>
        <w:t>transferring their tax residence to Italy are enabled to apply a substitute tax</w:t>
      </w:r>
      <w:r w:rsidR="00292477" w:rsidRPr="00292477">
        <w:rPr>
          <w:rFonts w:ascii="Times New Roman" w:hAnsi="Times New Roman" w:cs="Times New Roman"/>
          <w:sz w:val="26"/>
          <w:szCs w:val="26"/>
          <w:lang w:val="en-US"/>
        </w:rPr>
        <w:t xml:space="preserve"> </w:t>
      </w:r>
      <w:r w:rsidR="00292477" w:rsidRPr="00486C8B">
        <w:rPr>
          <w:rFonts w:ascii="Times New Roman" w:hAnsi="Times New Roman" w:cs="Times New Roman"/>
          <w:sz w:val="26"/>
          <w:szCs w:val="26"/>
          <w:lang w:val="en-US"/>
        </w:rPr>
        <w:t>to their foreign income and gains</w:t>
      </w:r>
      <w:r w:rsidRPr="00486C8B">
        <w:rPr>
          <w:rFonts w:ascii="Times New Roman" w:hAnsi="Times New Roman" w:cs="Times New Roman"/>
          <w:sz w:val="26"/>
          <w:szCs w:val="26"/>
          <w:lang w:val="en-US"/>
        </w:rPr>
        <w:t xml:space="preserve">, amounting to €100,000 for each fiscal year, in lieu of the Italian Income Tax. Therefore, this taxation represents an alternative to the application of the ordinary taxation and the option is valid for a period of 15 years. The election for the regime may be extended to family members through the payment of a substitute tax amounting to €25,000 per member, on their foreign income and gains. In order to benefit from the regime, all applicants have to submit a preliminary ruling to the Italian Revenue Agency in order to prove the existence of the eligibility requirements. Individuals transferring their tax residence have to pay </w:t>
      </w:r>
      <w:r w:rsidRPr="00486C8B">
        <w:rPr>
          <w:rFonts w:ascii="Times New Roman" w:hAnsi="Times New Roman" w:cs="Times New Roman"/>
          <w:sz w:val="26"/>
          <w:szCs w:val="26"/>
          <w:lang w:val="en-US"/>
        </w:rPr>
        <w:lastRenderedPageBreak/>
        <w:t>inheritance and donation tax only for properties and assets existing within the Italian territory.</w:t>
      </w:r>
    </w:p>
    <w:p w14:paraId="7C021419" w14:textId="0A4784A8"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color w:val="1A171B"/>
          <w:sz w:val="26"/>
          <w:szCs w:val="26"/>
          <w:u w:color="1A171B"/>
          <w:lang w:val="en-US"/>
        </w:rPr>
        <w:t xml:space="preserve"> </w:t>
      </w:r>
      <w:r w:rsidRPr="00486C8B">
        <w:rPr>
          <w:rFonts w:ascii="Times New Roman" w:hAnsi="Times New Roman" w:cs="Times New Roman"/>
          <w:sz w:val="26"/>
          <w:szCs w:val="26"/>
          <w:lang w:val="en-US"/>
        </w:rPr>
        <w:t xml:space="preserve">This </w:t>
      </w:r>
      <w:r w:rsidR="00471020" w:rsidRPr="00471020">
        <w:rPr>
          <w:rFonts w:ascii="Times New Roman" w:hAnsi="Times New Roman" w:cs="Times New Roman"/>
          <w:sz w:val="26"/>
          <w:szCs w:val="26"/>
          <w:lang w:val="en-GB"/>
        </w:rPr>
        <w:t>favourable</w:t>
      </w:r>
      <w:r w:rsidRPr="00486C8B">
        <w:rPr>
          <w:rFonts w:ascii="Times New Roman" w:hAnsi="Times New Roman" w:cs="Times New Roman"/>
          <w:sz w:val="26"/>
          <w:szCs w:val="26"/>
          <w:lang w:val="en-US"/>
        </w:rPr>
        <w:t xml:space="preserve"> tax regime is available for “newly resident” individuals in Italy, who (regardless of their nationality or domicile) have been non-tax resident in Italy for at least 9 years out of the 10 years preceding their transfer to Italy. The incentive regime may be also extended to the family members of these individuals.</w:t>
      </w:r>
    </w:p>
    <w:p w14:paraId="76CA017C" w14:textId="77777777" w:rsidR="00246206" w:rsidRPr="00486C8B" w:rsidRDefault="00246206">
      <w:pPr>
        <w:spacing w:after="0" w:line="360" w:lineRule="auto"/>
        <w:ind w:left="709" w:firstLine="414"/>
        <w:rPr>
          <w:rFonts w:ascii="Times New Roman" w:eastAsia="Times New Roman" w:hAnsi="Times New Roman" w:cs="Times New Roman"/>
          <w:sz w:val="26"/>
          <w:szCs w:val="26"/>
          <w:lang w:val="en-US"/>
        </w:rPr>
      </w:pPr>
    </w:p>
    <w:p w14:paraId="3EA7DC5F" w14:textId="77777777" w:rsidR="00246206" w:rsidRPr="00486C8B" w:rsidRDefault="006A0D57">
      <w:pPr>
        <w:spacing w:after="0" w:line="360" w:lineRule="auto"/>
        <w:ind w:left="720" w:firstLine="414"/>
        <w:jc w:val="center"/>
        <w:rPr>
          <w:rFonts w:ascii="Times New Roman" w:hAnsi="Times New Roman" w:cs="Times New Roman"/>
          <w:b/>
          <w:bCs/>
          <w:sz w:val="26"/>
          <w:szCs w:val="26"/>
          <w:lang w:val="en-US"/>
        </w:rPr>
      </w:pPr>
      <w:r w:rsidRPr="00486C8B">
        <w:rPr>
          <w:rFonts w:ascii="Times New Roman" w:hAnsi="Times New Roman" w:cs="Times New Roman"/>
          <w:b/>
          <w:bCs/>
          <w:sz w:val="26"/>
          <w:szCs w:val="26"/>
          <w:lang w:val="en-US"/>
        </w:rPr>
        <w:t>Tax compliance instruments</w:t>
      </w:r>
    </w:p>
    <w:p w14:paraId="48BDF8C2" w14:textId="77777777" w:rsidR="00246206" w:rsidRPr="00486C8B" w:rsidRDefault="00246206">
      <w:pPr>
        <w:spacing w:after="0" w:line="360" w:lineRule="auto"/>
        <w:ind w:left="720" w:firstLine="414"/>
        <w:jc w:val="center"/>
        <w:rPr>
          <w:rFonts w:ascii="Times New Roman" w:eastAsia="Times New Roman" w:hAnsi="Times New Roman" w:cs="Times New Roman"/>
          <w:b/>
          <w:bCs/>
          <w:sz w:val="26"/>
          <w:szCs w:val="26"/>
          <w:lang w:val="en-US"/>
        </w:rPr>
      </w:pPr>
    </w:p>
    <w:p w14:paraId="3AFD18EC" w14:textId="77777777" w:rsidR="00246206" w:rsidRPr="00486C8B" w:rsidRDefault="006A0D57">
      <w:pPr>
        <w:numPr>
          <w:ilvl w:val="0"/>
          <w:numId w:val="11"/>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 Cooperative </w:t>
      </w:r>
      <w:r w:rsidR="004456AE" w:rsidRPr="00486C8B">
        <w:rPr>
          <w:rFonts w:ascii="Times New Roman" w:hAnsi="Times New Roman" w:cs="Times New Roman"/>
          <w:b/>
          <w:bCs/>
          <w:i/>
          <w:iCs/>
          <w:sz w:val="26"/>
          <w:szCs w:val="26"/>
          <w:lang w:val="en-US"/>
        </w:rPr>
        <w:t xml:space="preserve">Compliance </w:t>
      </w:r>
      <w:r w:rsidRPr="00486C8B">
        <w:rPr>
          <w:rFonts w:ascii="Times New Roman" w:hAnsi="Times New Roman" w:cs="Times New Roman"/>
          <w:b/>
          <w:bCs/>
          <w:i/>
          <w:iCs/>
          <w:sz w:val="26"/>
          <w:szCs w:val="26"/>
          <w:lang w:val="en-US"/>
        </w:rPr>
        <w:t>program</w:t>
      </w:r>
      <w:r w:rsidRPr="00486C8B">
        <w:rPr>
          <w:rFonts w:ascii="Times New Roman" w:hAnsi="Times New Roman" w:cs="Times New Roman"/>
          <w:sz w:val="26"/>
          <w:szCs w:val="26"/>
          <w:lang w:val="en-US"/>
        </w:rPr>
        <w:t xml:space="preserve">. </w:t>
      </w:r>
    </w:p>
    <w:p w14:paraId="1AB1E589" w14:textId="77777777" w:rsidR="00246206" w:rsidRPr="00486C8B" w:rsidRDefault="006A0D57">
      <w:pPr>
        <w:spacing w:after="0" w:line="360" w:lineRule="auto"/>
        <w:ind w:left="644"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The regime, initially launched in 2013 as a pilot project, has been introduced in Italy in order to promote an enhanced and closer cooperation with the Italian Revenue Agency. </w:t>
      </w:r>
    </w:p>
    <w:p w14:paraId="35BF7D68" w14:textId="5F27B89B" w:rsidR="00014424" w:rsidRPr="00486C8B" w:rsidRDefault="00014424" w:rsidP="00014424">
      <w:pPr>
        <w:spacing w:after="0" w:line="360" w:lineRule="auto"/>
        <w:ind w:left="644"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Benefits</w:t>
      </w:r>
      <w:r w:rsidRPr="00486C8B">
        <w:rPr>
          <w:rFonts w:ascii="Times New Roman" w:hAnsi="Times New Roman" w:cs="Times New Roman"/>
          <w:sz w:val="26"/>
          <w:szCs w:val="26"/>
          <w:lang w:val="en-US"/>
        </w:rPr>
        <w:t xml:space="preserve">. Taxpayers are allowed to enter into advance discussions with the Italian Revenue Agency </w:t>
      </w:r>
      <w:r w:rsidR="00E97ECC" w:rsidRPr="00E97ECC">
        <w:rPr>
          <w:rFonts w:ascii="Times New Roman" w:hAnsi="Times New Roman" w:cs="Times New Roman"/>
          <w:sz w:val="26"/>
          <w:szCs w:val="26"/>
          <w:lang w:val="en-US"/>
        </w:rPr>
        <w:t>in order to reach a common evaluation of potential tax risks before the filing of tax returns and</w:t>
      </w:r>
      <w:r w:rsidR="00BC03A9">
        <w:rPr>
          <w:rFonts w:ascii="Times New Roman" w:hAnsi="Times New Roman" w:cs="Times New Roman"/>
          <w:sz w:val="26"/>
          <w:szCs w:val="26"/>
          <w:lang w:val="en-US"/>
        </w:rPr>
        <w:t xml:space="preserve"> to</w:t>
      </w:r>
      <w:r w:rsidR="00E97ECC" w:rsidRPr="00E97ECC">
        <w:rPr>
          <w:rFonts w:ascii="Times New Roman" w:hAnsi="Times New Roman" w:cs="Times New Roman"/>
          <w:sz w:val="26"/>
          <w:szCs w:val="26"/>
          <w:lang w:val="en-US"/>
        </w:rPr>
        <w:t xml:space="preserve"> assure tax certainty</w:t>
      </w:r>
      <w:r w:rsidRPr="00486C8B">
        <w:rPr>
          <w:rFonts w:ascii="Times New Roman" w:hAnsi="Times New Roman" w:cs="Times New Roman"/>
          <w:sz w:val="26"/>
          <w:szCs w:val="26"/>
          <w:lang w:val="en-US"/>
        </w:rPr>
        <w:t>. Furthermore, admission to the Cooperative Compliance regime allows taxpayers to benefit from several advantages:</w:t>
      </w:r>
    </w:p>
    <w:p w14:paraId="0E3AC0F2" w14:textId="77777777" w:rsidR="00014424" w:rsidRPr="00486C8B" w:rsidRDefault="00014424" w:rsidP="00014424">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 a fast track ruling (no more than 45 days since the receipt of request or the integration of documents) regarding the application of tax provisions; </w:t>
      </w:r>
    </w:p>
    <w:p w14:paraId="7F08C64C" w14:textId="77777777" w:rsidR="00014424" w:rsidRPr="00486C8B" w:rsidRDefault="00014424" w:rsidP="00014424">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tax penalties are reduced of 50% and, in any case, applied to an amount not exceeding the minimum provided by law;</w:t>
      </w:r>
    </w:p>
    <w:p w14:paraId="0EAC4F44" w14:textId="77777777" w:rsidR="00014424" w:rsidRPr="00486C8B" w:rsidRDefault="00014424" w:rsidP="00014424">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obligation to provide guarantees is not envisaged for taxpayers intending to obtain tax refunds. </w:t>
      </w:r>
    </w:p>
    <w:p w14:paraId="0369AEB6" w14:textId="77777777" w:rsidR="00246206" w:rsidRPr="00486C8B" w:rsidRDefault="006A0D57">
      <w:pPr>
        <w:spacing w:after="0" w:line="360" w:lineRule="auto"/>
        <w:ind w:left="644"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sz w:val="26"/>
          <w:szCs w:val="26"/>
          <w:lang w:val="en-US"/>
        </w:rPr>
        <w:t xml:space="preserve"> The regime is addressed to large taxpayers fulfilling the following requirements: </w:t>
      </w:r>
    </w:p>
    <w:p w14:paraId="086028C7" w14:textId="77777777" w:rsidR="00246206" w:rsidRPr="00486C8B" w:rsidRDefault="006A0D57" w:rsidP="008F27F2">
      <w:pPr>
        <w:numPr>
          <w:ilvl w:val="0"/>
          <w:numId w:val="13"/>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lastRenderedPageBreak/>
        <w:t xml:space="preserve">resident and non-resident entities having a permanent establishment in Italy with a total turnover or operating revenues exceeding 10 billion euros; </w:t>
      </w:r>
    </w:p>
    <w:p w14:paraId="6C0917A8" w14:textId="77777777" w:rsidR="00246206" w:rsidRPr="00486C8B" w:rsidRDefault="006A0D57" w:rsidP="008F27F2">
      <w:pPr>
        <w:numPr>
          <w:ilvl w:val="0"/>
          <w:numId w:val="13"/>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resident and non-resident entities having a permanent establishment in Italy with a total turnover or operating revenues equal to at least 1 billion euros, which applied for the pilot project launched in 2013; </w:t>
      </w:r>
    </w:p>
    <w:p w14:paraId="33DD7F2B" w14:textId="77777777" w:rsidR="00246206" w:rsidRPr="00486C8B" w:rsidRDefault="006A0D57" w:rsidP="008F27F2">
      <w:pPr>
        <w:numPr>
          <w:ilvl w:val="0"/>
          <w:numId w:val="13"/>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entities granting execution to the opinion of the Italian Revenue Agency in response to the </w:t>
      </w:r>
      <w:r w:rsidR="004456AE" w:rsidRPr="00486C8B">
        <w:rPr>
          <w:rFonts w:ascii="Times New Roman" w:hAnsi="Times New Roman" w:cs="Times New Roman"/>
          <w:sz w:val="26"/>
          <w:szCs w:val="26"/>
          <w:lang w:val="en-US"/>
        </w:rPr>
        <w:t>Advance T</w:t>
      </w:r>
      <w:r w:rsidR="00E91498" w:rsidRPr="00486C8B">
        <w:rPr>
          <w:rFonts w:ascii="Times New Roman" w:hAnsi="Times New Roman" w:cs="Times New Roman"/>
          <w:sz w:val="26"/>
          <w:szCs w:val="26"/>
          <w:lang w:val="en-US"/>
        </w:rPr>
        <w:t>ax</w:t>
      </w:r>
      <w:r w:rsidRPr="00486C8B">
        <w:rPr>
          <w:rFonts w:ascii="Times New Roman" w:hAnsi="Times New Roman" w:cs="Times New Roman"/>
          <w:sz w:val="26"/>
          <w:szCs w:val="26"/>
          <w:lang w:val="en-US"/>
        </w:rPr>
        <w:t xml:space="preserve"> </w:t>
      </w:r>
      <w:r w:rsidR="004456AE" w:rsidRPr="00486C8B">
        <w:rPr>
          <w:rFonts w:ascii="Times New Roman" w:hAnsi="Times New Roman" w:cs="Times New Roman"/>
          <w:sz w:val="26"/>
          <w:szCs w:val="26"/>
          <w:lang w:val="en-US"/>
        </w:rPr>
        <w:t xml:space="preserve">Ruling </w:t>
      </w:r>
      <w:r w:rsidRPr="00486C8B">
        <w:rPr>
          <w:rFonts w:ascii="Times New Roman" w:hAnsi="Times New Roman" w:cs="Times New Roman"/>
          <w:sz w:val="26"/>
          <w:szCs w:val="26"/>
          <w:lang w:val="en-US"/>
        </w:rPr>
        <w:t xml:space="preserve">on new investments, notwithstanding threshold of turnover or revenues. </w:t>
      </w:r>
    </w:p>
    <w:p w14:paraId="53646744" w14:textId="77777777" w:rsidR="00292477"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In addition, the access to the </w:t>
      </w:r>
      <w:r w:rsidR="004456AE" w:rsidRPr="00486C8B">
        <w:rPr>
          <w:rFonts w:ascii="Times New Roman" w:hAnsi="Times New Roman" w:cs="Times New Roman"/>
          <w:sz w:val="26"/>
          <w:szCs w:val="26"/>
          <w:lang w:val="en-US"/>
        </w:rPr>
        <w:t xml:space="preserve">Cooperative Compliance </w:t>
      </w:r>
      <w:r w:rsidRPr="00486C8B">
        <w:rPr>
          <w:rFonts w:ascii="Times New Roman" w:hAnsi="Times New Roman" w:cs="Times New Roman"/>
          <w:sz w:val="26"/>
          <w:szCs w:val="26"/>
          <w:lang w:val="en-US"/>
        </w:rPr>
        <w:t xml:space="preserve">program can be extended to resident and non-resident entities having a permanent establishment in Italy, performing strategic direction functions in relation to the tax control framework, regardless of the amount of turnover or revenues. </w:t>
      </w:r>
    </w:p>
    <w:p w14:paraId="4DDA82F4" w14:textId="77777777" w:rsidR="00246206" w:rsidRPr="00486C8B"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In order to adhere to the program, eligible taxpayers must file an application including fundamental information on the enterprise, with particular regard to the adopted tax control framework for detecting, measuring, and managing the tax risk.</w:t>
      </w:r>
    </w:p>
    <w:p w14:paraId="52DEB005" w14:textId="77777777" w:rsidR="00246206" w:rsidRPr="00486C8B" w:rsidRDefault="00246206">
      <w:pPr>
        <w:spacing w:after="0" w:line="360" w:lineRule="auto"/>
        <w:ind w:left="1853"/>
        <w:rPr>
          <w:rFonts w:ascii="Times New Roman" w:eastAsia="Times New Roman" w:hAnsi="Times New Roman" w:cs="Times New Roman"/>
          <w:sz w:val="26"/>
          <w:szCs w:val="26"/>
          <w:lang w:val="en-US"/>
        </w:rPr>
      </w:pPr>
    </w:p>
    <w:p w14:paraId="44138070" w14:textId="77777777" w:rsidR="00246206" w:rsidRPr="00486C8B" w:rsidRDefault="006A0D57">
      <w:pPr>
        <w:numPr>
          <w:ilvl w:val="0"/>
          <w:numId w:val="16"/>
        </w:numPr>
        <w:spacing w:after="0" w:line="360" w:lineRule="auto"/>
        <w:rPr>
          <w:rFonts w:ascii="Times New Roman" w:eastAsia="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Advance </w:t>
      </w:r>
      <w:r w:rsidR="00E91498" w:rsidRPr="00486C8B">
        <w:rPr>
          <w:rFonts w:ascii="Times New Roman" w:hAnsi="Times New Roman" w:cs="Times New Roman"/>
          <w:b/>
          <w:bCs/>
          <w:i/>
          <w:iCs/>
          <w:sz w:val="26"/>
          <w:szCs w:val="26"/>
          <w:lang w:val="en-US"/>
        </w:rPr>
        <w:t xml:space="preserve">Tax Agreements </w:t>
      </w:r>
      <w:r w:rsidRPr="00486C8B">
        <w:rPr>
          <w:rFonts w:ascii="Times New Roman" w:hAnsi="Times New Roman" w:cs="Times New Roman"/>
          <w:b/>
          <w:bCs/>
          <w:i/>
          <w:iCs/>
          <w:sz w:val="26"/>
          <w:szCs w:val="26"/>
          <w:lang w:val="en-US"/>
        </w:rPr>
        <w:t>for enterprises with international activities</w:t>
      </w:r>
      <w:r w:rsidRPr="00486C8B">
        <w:rPr>
          <w:rFonts w:ascii="Times New Roman" w:hAnsi="Times New Roman" w:cs="Times New Roman"/>
          <w:b/>
          <w:bCs/>
          <w:sz w:val="26"/>
          <w:szCs w:val="26"/>
          <w:lang w:val="en-US"/>
        </w:rPr>
        <w:t xml:space="preserve">. </w:t>
      </w:r>
    </w:p>
    <w:p w14:paraId="3B33339C" w14:textId="12BB2DE8" w:rsidR="00246206" w:rsidRPr="00486C8B" w:rsidRDefault="006A0D57">
      <w:pPr>
        <w:spacing w:after="0" w:line="360" w:lineRule="auto"/>
        <w:ind w:left="502"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w:t>
      </w:r>
      <w:r w:rsidR="002E302D" w:rsidRPr="00486C8B">
        <w:rPr>
          <w:rFonts w:ascii="Times New Roman" w:hAnsi="Times New Roman" w:cs="Times New Roman"/>
          <w:sz w:val="26"/>
          <w:szCs w:val="26"/>
          <w:lang w:val="en-US"/>
        </w:rPr>
        <w:t xml:space="preserve">Advance Tax agreements are binding </w:t>
      </w:r>
      <w:r w:rsidRPr="00486C8B">
        <w:rPr>
          <w:rFonts w:ascii="Times New Roman" w:hAnsi="Times New Roman" w:cs="Times New Roman"/>
          <w:sz w:val="26"/>
          <w:szCs w:val="26"/>
          <w:lang w:val="en-US"/>
        </w:rPr>
        <w:t>agreements (replacing the former “international standard rulings”) aimed at promoting the internationalization of companies by giving certainty to the definition of calculation methods and the assessment of factual elements</w:t>
      </w:r>
      <w:r w:rsidR="00471020">
        <w:rPr>
          <w:rFonts w:ascii="Times New Roman" w:hAnsi="Times New Roman" w:cs="Times New Roman"/>
          <w:sz w:val="26"/>
          <w:szCs w:val="26"/>
          <w:lang w:val="en-US"/>
        </w:rPr>
        <w:t>,</w:t>
      </w:r>
      <w:r w:rsidRPr="00486C8B">
        <w:rPr>
          <w:rFonts w:ascii="Times New Roman" w:hAnsi="Times New Roman" w:cs="Times New Roman"/>
          <w:sz w:val="26"/>
          <w:szCs w:val="26"/>
          <w:lang w:val="en-US"/>
        </w:rPr>
        <w:t xml:space="preserve"> that can be challenged by the Italian Revenue Agency.</w:t>
      </w:r>
    </w:p>
    <w:p w14:paraId="364FC93B" w14:textId="77777777" w:rsidR="002E302D" w:rsidRPr="00486C8B" w:rsidDel="00C637EE" w:rsidRDefault="002E302D" w:rsidP="002E302D">
      <w:pPr>
        <w:spacing w:after="0" w:line="360" w:lineRule="auto"/>
        <w:ind w:left="502" w:firstLine="414"/>
        <w:rPr>
          <w:rFonts w:ascii="Times New Roman" w:hAnsi="Times New Roman" w:cs="Times New Roman"/>
          <w:sz w:val="26"/>
          <w:szCs w:val="26"/>
          <w:lang w:val="en-US"/>
        </w:rPr>
      </w:pPr>
      <w:r w:rsidRPr="00486C8B" w:rsidDel="00C637EE">
        <w:rPr>
          <w:rFonts w:ascii="Times New Roman" w:hAnsi="Times New Roman" w:cs="Times New Roman"/>
          <w:b/>
          <w:bCs/>
          <w:i/>
          <w:iCs/>
          <w:sz w:val="26"/>
          <w:szCs w:val="26"/>
          <w:lang w:val="en-US"/>
        </w:rPr>
        <w:lastRenderedPageBreak/>
        <w:t>Benefits</w:t>
      </w:r>
      <w:r w:rsidRPr="00486C8B" w:rsidDel="00C637EE">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These</w:t>
      </w:r>
      <w:r w:rsidRPr="00486C8B" w:rsidDel="00C637EE">
        <w:rPr>
          <w:rFonts w:ascii="Times New Roman" w:hAnsi="Times New Roman" w:cs="Times New Roman"/>
          <w:sz w:val="26"/>
          <w:szCs w:val="26"/>
          <w:lang w:val="en-US"/>
        </w:rPr>
        <w:t xml:space="preserve"> agreements can be concluded by enterprises </w:t>
      </w:r>
      <w:r w:rsidRPr="00486C8B">
        <w:rPr>
          <w:rFonts w:ascii="Times New Roman" w:hAnsi="Times New Roman" w:cs="Times New Roman"/>
          <w:sz w:val="26"/>
          <w:szCs w:val="26"/>
          <w:lang w:val="en-US"/>
        </w:rPr>
        <w:t xml:space="preserve">with international activities </w:t>
      </w:r>
      <w:r w:rsidRPr="00486C8B" w:rsidDel="00C637EE">
        <w:rPr>
          <w:rFonts w:ascii="Times New Roman" w:hAnsi="Times New Roman" w:cs="Times New Roman"/>
          <w:sz w:val="26"/>
          <w:szCs w:val="26"/>
          <w:lang w:val="en-US"/>
        </w:rPr>
        <w:t xml:space="preserve">wishing to reach a prior settlement and a shared evaluation with the Italian Revenue Agency about: </w:t>
      </w:r>
    </w:p>
    <w:p w14:paraId="2DE7A2F1" w14:textId="77777777" w:rsidR="002E302D" w:rsidRPr="00486C8B" w:rsidDel="00C637EE" w:rsidRDefault="002E302D" w:rsidP="002E302D">
      <w:pPr>
        <w:numPr>
          <w:ilvl w:val="0"/>
          <w:numId w:val="20"/>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sidDel="00C637EE">
        <w:rPr>
          <w:rFonts w:ascii="Times New Roman" w:hAnsi="Times New Roman" w:cs="Times New Roman"/>
          <w:sz w:val="26"/>
          <w:szCs w:val="26"/>
          <w:lang w:val="en-US"/>
        </w:rPr>
        <w:t>the determination of the arm’s-length price of transactions between an Italian company and a non-resident company belonging to the same group;</w:t>
      </w:r>
    </w:p>
    <w:p w14:paraId="2A62CE78" w14:textId="77777777" w:rsidR="002E302D" w:rsidRPr="00486C8B" w:rsidDel="00C637EE" w:rsidRDefault="002E302D" w:rsidP="002E302D">
      <w:pPr>
        <w:numPr>
          <w:ilvl w:val="0"/>
          <w:numId w:val="20"/>
        </w:numPr>
        <w:tabs>
          <w:tab w:val="clear" w:pos="2124"/>
          <w:tab w:val="num" w:pos="1276"/>
        </w:tabs>
        <w:spacing w:after="0" w:line="360" w:lineRule="auto"/>
        <w:ind w:left="1134" w:firstLine="0"/>
        <w:rPr>
          <w:rFonts w:ascii="Times New Roman" w:eastAsia="Times New Roman" w:hAnsi="Times New Roman" w:cs="Times New Roman"/>
          <w:sz w:val="26"/>
          <w:szCs w:val="26"/>
          <w:lang w:val="en-US"/>
        </w:rPr>
      </w:pPr>
      <w:r w:rsidRPr="00486C8B" w:rsidDel="00C637EE">
        <w:rPr>
          <w:rFonts w:ascii="Times New Roman" w:hAnsi="Times New Roman" w:cs="Times New Roman"/>
          <w:sz w:val="26"/>
          <w:szCs w:val="26"/>
          <w:lang w:val="en-US"/>
        </w:rPr>
        <w:t xml:space="preserve">the definition of entry and exit value of assets in case of transfer of residence; </w:t>
      </w:r>
    </w:p>
    <w:p w14:paraId="2B97A00C" w14:textId="77777777" w:rsidR="002E302D" w:rsidRPr="00486C8B" w:rsidDel="00C637EE" w:rsidRDefault="002E302D" w:rsidP="002E302D">
      <w:pPr>
        <w:numPr>
          <w:ilvl w:val="0"/>
          <w:numId w:val="20"/>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sidDel="00C637EE">
        <w:rPr>
          <w:rFonts w:ascii="Times New Roman" w:hAnsi="Times New Roman" w:cs="Times New Roman"/>
          <w:sz w:val="26"/>
          <w:szCs w:val="26"/>
          <w:lang w:val="en-US"/>
        </w:rPr>
        <w:t xml:space="preserve">the prior assessment on the existence of a permanent establishment in the territory of the State; </w:t>
      </w:r>
    </w:p>
    <w:p w14:paraId="72E3A6A7" w14:textId="77777777" w:rsidR="002E302D" w:rsidRPr="00486C8B" w:rsidDel="00C637EE" w:rsidRDefault="002E302D" w:rsidP="002E302D">
      <w:pPr>
        <w:numPr>
          <w:ilvl w:val="0"/>
          <w:numId w:val="20"/>
        </w:numPr>
        <w:tabs>
          <w:tab w:val="clear" w:pos="2124"/>
          <w:tab w:val="num" w:pos="1276"/>
        </w:tabs>
        <w:spacing w:after="0" w:line="360" w:lineRule="auto"/>
        <w:ind w:left="1134" w:firstLine="0"/>
        <w:rPr>
          <w:rFonts w:ascii="Times New Roman" w:eastAsia="Times New Roman" w:hAnsi="Times New Roman" w:cs="Times New Roman"/>
          <w:sz w:val="26"/>
          <w:szCs w:val="26"/>
          <w:lang w:val="en-US"/>
        </w:rPr>
      </w:pPr>
      <w:r w:rsidRPr="00486C8B" w:rsidDel="00C637EE">
        <w:rPr>
          <w:rFonts w:ascii="Times New Roman" w:hAnsi="Times New Roman" w:cs="Times New Roman"/>
          <w:sz w:val="26"/>
          <w:szCs w:val="26"/>
          <w:lang w:val="en-US"/>
        </w:rPr>
        <w:t>the application to a specific case of rules, including international treaty rules, concerning the payment to (or the receipt from) non-resident companies of dividends, interests, royalties or other income;</w:t>
      </w:r>
    </w:p>
    <w:p w14:paraId="227D3AA6" w14:textId="77777777" w:rsidR="002E302D" w:rsidRPr="00486C8B" w:rsidDel="00C637EE" w:rsidRDefault="002E302D" w:rsidP="002E302D">
      <w:pPr>
        <w:numPr>
          <w:ilvl w:val="0"/>
          <w:numId w:val="20"/>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sidDel="00C637EE">
        <w:rPr>
          <w:rFonts w:ascii="Times New Roman" w:hAnsi="Times New Roman" w:cs="Times New Roman"/>
          <w:sz w:val="26"/>
          <w:szCs w:val="26"/>
          <w:lang w:val="en-US"/>
        </w:rPr>
        <w:t xml:space="preserve">the application to a specific case of rules, including international treaty rules, in order to define the amount of income attributable to a permanent establishment in Italy of a non-resident company or to a permanent establishment in foreign countries of an Italian resident company. </w:t>
      </w:r>
    </w:p>
    <w:p w14:paraId="393FAE06" w14:textId="77777777" w:rsidR="002E302D" w:rsidRPr="00486C8B" w:rsidDel="00C637EE" w:rsidRDefault="002E302D" w:rsidP="002E302D">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A</w:t>
      </w:r>
      <w:r w:rsidRPr="00486C8B" w:rsidDel="00C637EE">
        <w:rPr>
          <w:rFonts w:ascii="Times New Roman" w:hAnsi="Times New Roman" w:cs="Times New Roman"/>
          <w:sz w:val="26"/>
          <w:szCs w:val="26"/>
          <w:lang w:val="en-US"/>
        </w:rPr>
        <w:t>lso “Patent Box” regulatory regime is covered by the Advance Tax Agreements procedure.</w:t>
      </w:r>
    </w:p>
    <w:p w14:paraId="5B03ED1A" w14:textId="77777777" w:rsidR="00246206" w:rsidRPr="00486C8B" w:rsidRDefault="006A0D57">
      <w:pPr>
        <w:spacing w:after="0" w:line="360" w:lineRule="auto"/>
        <w:ind w:left="502"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sz w:val="26"/>
          <w:szCs w:val="26"/>
          <w:lang w:val="en-US"/>
        </w:rPr>
        <w:t xml:space="preserve">. The status of “enterprise with international activity” is recognized to resident enterprises which (alternately or jointly): </w:t>
      </w:r>
    </w:p>
    <w:p w14:paraId="40ABDEE1" w14:textId="77777777" w:rsidR="00246206" w:rsidRPr="00486C8B" w:rsidRDefault="006A0D57" w:rsidP="008F27F2">
      <w:pPr>
        <w:numPr>
          <w:ilvl w:val="0"/>
          <w:numId w:val="18"/>
        </w:numPr>
        <w:tabs>
          <w:tab w:val="clear" w:pos="2124"/>
          <w:tab w:val="num" w:pos="1276"/>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make transactions with non-resident companies belonging to the same group;</w:t>
      </w:r>
    </w:p>
    <w:p w14:paraId="1C922ED0" w14:textId="77777777" w:rsidR="00246206" w:rsidRPr="00486C8B" w:rsidRDefault="006A0D57" w:rsidP="008F27F2">
      <w:pPr>
        <w:numPr>
          <w:ilvl w:val="0"/>
          <w:numId w:val="15"/>
        </w:numPr>
        <w:tabs>
          <w:tab w:val="clear" w:pos="2124"/>
          <w:tab w:val="num" w:pos="1418"/>
        </w:tabs>
        <w:spacing w:after="0" w:line="360" w:lineRule="auto"/>
        <w:ind w:left="1134" w:hanging="21"/>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either hold stakes in the assets, funds, capital of non-resident persons or have stakes in their assets, funds, capital which are held by non-resident persons;</w:t>
      </w:r>
    </w:p>
    <w:p w14:paraId="2F1AA992" w14:textId="77777777" w:rsidR="00246206" w:rsidRPr="00486C8B" w:rsidRDefault="006A0D57" w:rsidP="008F27F2">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lastRenderedPageBreak/>
        <w:t xml:space="preserve"> have paid out to or received from non-resident persons dividends, interest</w:t>
      </w:r>
      <w:r w:rsidR="001C5EB4" w:rsidRPr="00486C8B">
        <w:rPr>
          <w:rFonts w:ascii="Times New Roman" w:hAnsi="Times New Roman" w:cs="Times New Roman"/>
          <w:sz w:val="26"/>
          <w:szCs w:val="26"/>
          <w:lang w:val="en-US"/>
        </w:rPr>
        <w:t>s</w:t>
      </w:r>
      <w:r w:rsidRPr="00486C8B">
        <w:rPr>
          <w:rFonts w:ascii="Times New Roman" w:hAnsi="Times New Roman" w:cs="Times New Roman"/>
          <w:sz w:val="26"/>
          <w:szCs w:val="26"/>
          <w:lang w:val="en-US"/>
        </w:rPr>
        <w:t xml:space="preserve"> or royalties;</w:t>
      </w:r>
    </w:p>
    <w:p w14:paraId="2CE80EDF" w14:textId="77777777" w:rsidR="00246206" w:rsidRPr="00486C8B" w:rsidRDefault="006A0D57" w:rsidP="008F27F2">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conduct business through a permanent establishment in another country;</w:t>
      </w:r>
    </w:p>
    <w:p w14:paraId="5D8F49C4" w14:textId="77777777" w:rsidR="00246206" w:rsidRPr="00486C8B" w:rsidRDefault="006A0D57" w:rsidP="008F27F2">
      <w:pPr>
        <w:numPr>
          <w:ilvl w:val="0"/>
          <w:numId w:val="15"/>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transfer their residence from Italy to another State or from another State to Italy. </w:t>
      </w:r>
    </w:p>
    <w:p w14:paraId="5D0DCC5A" w14:textId="77777777" w:rsidR="00246206" w:rsidRDefault="006A0D57">
      <w:pPr>
        <w:spacing w:after="0" w:line="360" w:lineRule="auto"/>
        <w:ind w:left="709"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The status of enterprise with international activity is also recognized to non-resident enterprises conducting or intending to conduct their own activity in </w:t>
      </w:r>
      <w:r w:rsidR="001441A2" w:rsidRPr="00486C8B">
        <w:rPr>
          <w:rFonts w:ascii="Times New Roman" w:hAnsi="Times New Roman" w:cs="Times New Roman"/>
          <w:sz w:val="26"/>
          <w:szCs w:val="26"/>
          <w:lang w:val="en-US"/>
        </w:rPr>
        <w:t>Italy</w:t>
      </w:r>
      <w:r w:rsidRPr="00486C8B">
        <w:rPr>
          <w:rFonts w:ascii="Times New Roman" w:hAnsi="Times New Roman" w:cs="Times New Roman"/>
          <w:sz w:val="26"/>
          <w:szCs w:val="26"/>
          <w:lang w:val="en-US"/>
        </w:rPr>
        <w:t xml:space="preserve"> through a permanent establishment.</w:t>
      </w:r>
    </w:p>
    <w:p w14:paraId="756584F7" w14:textId="77777777" w:rsidR="00A93418" w:rsidRPr="00486C8B" w:rsidRDefault="00A93418">
      <w:pPr>
        <w:spacing w:after="0" w:line="360" w:lineRule="auto"/>
        <w:ind w:left="709" w:firstLine="414"/>
        <w:rPr>
          <w:rFonts w:ascii="Times New Roman" w:hAnsi="Times New Roman" w:cs="Times New Roman"/>
          <w:sz w:val="26"/>
          <w:szCs w:val="26"/>
          <w:lang w:val="en-US"/>
        </w:rPr>
      </w:pPr>
    </w:p>
    <w:p w14:paraId="52AAE3A0" w14:textId="77777777" w:rsidR="00246206" w:rsidRPr="00947F9F" w:rsidRDefault="00947F9F" w:rsidP="00ED14F5">
      <w:pPr>
        <w:pStyle w:val="Paragrafoelenco"/>
        <w:numPr>
          <w:ilvl w:val="0"/>
          <w:numId w:val="16"/>
        </w:numPr>
        <w:spacing w:after="0" w:line="360" w:lineRule="auto"/>
        <w:rPr>
          <w:rFonts w:ascii="Times New Roman" w:eastAsia="Times New Roman" w:hAnsi="Times New Roman" w:cs="Times New Roman"/>
          <w:b/>
          <w:i/>
          <w:sz w:val="26"/>
          <w:szCs w:val="26"/>
          <w:lang w:val="en-US"/>
        </w:rPr>
      </w:pPr>
      <w:r w:rsidRPr="00947F9F">
        <w:rPr>
          <w:rFonts w:ascii="Times New Roman" w:eastAsia="Times New Roman" w:hAnsi="Times New Roman" w:cs="Times New Roman"/>
          <w:b/>
          <w:i/>
          <w:sz w:val="26"/>
          <w:szCs w:val="26"/>
          <w:lang w:val="en-US"/>
        </w:rPr>
        <w:t xml:space="preserve">General </w:t>
      </w:r>
      <w:r w:rsidR="00ED14F5" w:rsidRPr="00947F9F">
        <w:rPr>
          <w:rFonts w:ascii="Times New Roman" w:eastAsia="Times New Roman" w:hAnsi="Times New Roman" w:cs="Times New Roman"/>
          <w:b/>
          <w:i/>
          <w:sz w:val="26"/>
          <w:szCs w:val="26"/>
          <w:lang w:val="en-US"/>
        </w:rPr>
        <w:t>Taxpayer</w:t>
      </w:r>
      <w:r w:rsidRPr="00947F9F">
        <w:rPr>
          <w:rFonts w:ascii="Times New Roman" w:eastAsia="Times New Roman" w:hAnsi="Times New Roman" w:cs="Times New Roman"/>
          <w:b/>
          <w:i/>
          <w:sz w:val="26"/>
          <w:szCs w:val="26"/>
          <w:lang w:val="en-US"/>
        </w:rPr>
        <w:t>’s</w:t>
      </w:r>
      <w:r w:rsidR="00ED14F5" w:rsidRPr="00947F9F">
        <w:rPr>
          <w:rFonts w:ascii="Times New Roman" w:eastAsia="Times New Roman" w:hAnsi="Times New Roman" w:cs="Times New Roman"/>
          <w:b/>
          <w:i/>
          <w:sz w:val="26"/>
          <w:szCs w:val="26"/>
          <w:lang w:val="en-US"/>
        </w:rPr>
        <w:t xml:space="preserve"> </w:t>
      </w:r>
      <w:r w:rsidRPr="00947F9F">
        <w:rPr>
          <w:rFonts w:ascii="Times New Roman" w:eastAsia="Times New Roman" w:hAnsi="Times New Roman" w:cs="Times New Roman"/>
          <w:b/>
          <w:i/>
          <w:sz w:val="26"/>
          <w:szCs w:val="26"/>
          <w:lang w:val="en-US"/>
        </w:rPr>
        <w:t xml:space="preserve">Advance </w:t>
      </w:r>
      <w:r w:rsidR="00ED14F5" w:rsidRPr="00947F9F">
        <w:rPr>
          <w:rFonts w:ascii="Times New Roman" w:eastAsia="Times New Roman" w:hAnsi="Times New Roman" w:cs="Times New Roman"/>
          <w:b/>
          <w:i/>
          <w:sz w:val="26"/>
          <w:szCs w:val="26"/>
          <w:lang w:val="en-US"/>
        </w:rPr>
        <w:t>Ruling</w:t>
      </w:r>
      <w:r w:rsidRPr="00947F9F">
        <w:rPr>
          <w:rFonts w:ascii="Times New Roman" w:eastAsia="Times New Roman" w:hAnsi="Times New Roman" w:cs="Times New Roman"/>
          <w:b/>
          <w:i/>
          <w:sz w:val="26"/>
          <w:szCs w:val="26"/>
          <w:lang w:val="en-US"/>
        </w:rPr>
        <w:t>.</w:t>
      </w:r>
    </w:p>
    <w:p w14:paraId="00EB608C" w14:textId="77777777" w:rsidR="00ED14F5" w:rsidRDefault="00ED14F5" w:rsidP="004B1EE8">
      <w:pPr>
        <w:pStyle w:val="Paragrafoelenco"/>
        <w:spacing w:after="0" w:line="360" w:lineRule="auto"/>
        <w:ind w:left="284" w:firstLine="632"/>
        <w:rPr>
          <w:rFonts w:ascii="Times New Roman" w:eastAsia="Times New Roman" w:hAnsi="Times New Roman" w:cs="Times New Roman"/>
          <w:sz w:val="26"/>
          <w:szCs w:val="26"/>
          <w:lang w:val="en-US"/>
        </w:rPr>
      </w:pPr>
      <w:r w:rsidRPr="00B73273">
        <w:rPr>
          <w:rFonts w:ascii="Times New Roman" w:eastAsia="Times New Roman" w:hAnsi="Times New Roman" w:cs="Times New Roman"/>
          <w:b/>
          <w:i/>
          <w:sz w:val="26"/>
          <w:szCs w:val="26"/>
          <w:lang w:val="en-US"/>
        </w:rPr>
        <w:t>Aim</w:t>
      </w:r>
      <w:r>
        <w:rPr>
          <w:rFonts w:ascii="Times New Roman" w:eastAsia="Times New Roman" w:hAnsi="Times New Roman" w:cs="Times New Roman"/>
          <w:sz w:val="26"/>
          <w:szCs w:val="26"/>
          <w:lang w:val="en-US"/>
        </w:rPr>
        <w:t>. T</w:t>
      </w:r>
      <w:r w:rsidR="00792357">
        <w:rPr>
          <w:rFonts w:ascii="Times New Roman" w:eastAsia="Times New Roman" w:hAnsi="Times New Roman" w:cs="Times New Roman"/>
          <w:sz w:val="26"/>
          <w:szCs w:val="26"/>
          <w:lang w:val="en-US"/>
        </w:rPr>
        <w:t xml:space="preserve">he </w:t>
      </w:r>
      <w:r w:rsidR="00AB3501">
        <w:rPr>
          <w:rFonts w:ascii="Times New Roman" w:eastAsia="Times New Roman" w:hAnsi="Times New Roman" w:cs="Times New Roman"/>
          <w:sz w:val="26"/>
          <w:szCs w:val="26"/>
          <w:lang w:val="en-US"/>
        </w:rPr>
        <w:t xml:space="preserve">aim of </w:t>
      </w:r>
      <w:r>
        <w:rPr>
          <w:rFonts w:ascii="Times New Roman" w:eastAsia="Times New Roman" w:hAnsi="Times New Roman" w:cs="Times New Roman"/>
          <w:sz w:val="26"/>
          <w:szCs w:val="26"/>
          <w:lang w:val="en-US"/>
        </w:rPr>
        <w:t>Tax</w:t>
      </w:r>
      <w:r w:rsidR="00947F9F">
        <w:rPr>
          <w:rFonts w:ascii="Times New Roman" w:eastAsia="Times New Roman" w:hAnsi="Times New Roman" w:cs="Times New Roman"/>
          <w:sz w:val="26"/>
          <w:szCs w:val="26"/>
          <w:lang w:val="en-US"/>
        </w:rPr>
        <w:t>payer’s</w:t>
      </w:r>
      <w:r>
        <w:rPr>
          <w:rFonts w:ascii="Times New Roman" w:eastAsia="Times New Roman" w:hAnsi="Times New Roman" w:cs="Times New Roman"/>
          <w:sz w:val="26"/>
          <w:szCs w:val="26"/>
          <w:lang w:val="en-US"/>
        </w:rPr>
        <w:t xml:space="preserve"> </w:t>
      </w:r>
      <w:r w:rsidR="00947F9F">
        <w:rPr>
          <w:rFonts w:ascii="Times New Roman" w:eastAsia="Times New Roman" w:hAnsi="Times New Roman" w:cs="Times New Roman"/>
          <w:sz w:val="26"/>
          <w:szCs w:val="26"/>
          <w:lang w:val="en-US"/>
        </w:rPr>
        <w:t xml:space="preserve">Advance </w:t>
      </w:r>
      <w:r>
        <w:rPr>
          <w:rFonts w:ascii="Times New Roman" w:eastAsia="Times New Roman" w:hAnsi="Times New Roman" w:cs="Times New Roman"/>
          <w:sz w:val="26"/>
          <w:szCs w:val="26"/>
          <w:lang w:val="en-US"/>
        </w:rPr>
        <w:t>Ruling</w:t>
      </w:r>
      <w:r w:rsidR="00947F9F">
        <w:rPr>
          <w:rFonts w:ascii="Times New Roman" w:eastAsia="Times New Roman" w:hAnsi="Times New Roman" w:cs="Times New Roman"/>
          <w:sz w:val="26"/>
          <w:szCs w:val="26"/>
          <w:lang w:val="en-US"/>
        </w:rPr>
        <w:t>,</w:t>
      </w:r>
      <w:r w:rsidR="00792357">
        <w:rPr>
          <w:rFonts w:ascii="Times New Roman" w:eastAsia="Times New Roman" w:hAnsi="Times New Roman" w:cs="Times New Roman"/>
          <w:sz w:val="26"/>
          <w:szCs w:val="26"/>
          <w:lang w:val="en-US"/>
        </w:rPr>
        <w:t xml:space="preserve"> provided by Taxpayers’ Bill of Rights</w:t>
      </w:r>
      <w:r w:rsidR="00947F9F">
        <w:rPr>
          <w:rFonts w:ascii="Times New Roman" w:eastAsia="Times New Roman" w:hAnsi="Times New Roman" w:cs="Times New Roman"/>
          <w:sz w:val="26"/>
          <w:szCs w:val="26"/>
          <w:lang w:val="en-US"/>
        </w:rPr>
        <w:t>,</w:t>
      </w:r>
      <w:r w:rsidR="00792357">
        <w:rPr>
          <w:rFonts w:ascii="Times New Roman" w:eastAsia="Times New Roman" w:hAnsi="Times New Roman" w:cs="Times New Roman"/>
          <w:sz w:val="26"/>
          <w:szCs w:val="26"/>
          <w:lang w:val="en-US"/>
        </w:rPr>
        <w:t xml:space="preserve"> </w:t>
      </w:r>
      <w:r w:rsidR="00AB3501">
        <w:rPr>
          <w:rFonts w:ascii="Times New Roman" w:eastAsia="Times New Roman" w:hAnsi="Times New Roman" w:cs="Times New Roman"/>
          <w:sz w:val="26"/>
          <w:szCs w:val="26"/>
          <w:lang w:val="en-US"/>
        </w:rPr>
        <w:t>is to</w:t>
      </w:r>
      <w:r>
        <w:rPr>
          <w:rFonts w:ascii="Times New Roman" w:eastAsia="Times New Roman" w:hAnsi="Times New Roman" w:cs="Times New Roman"/>
          <w:sz w:val="26"/>
          <w:szCs w:val="26"/>
          <w:lang w:val="en-US"/>
        </w:rPr>
        <w:t xml:space="preserve"> giv</w:t>
      </w:r>
      <w:r w:rsidR="00AB3501">
        <w:rPr>
          <w:rFonts w:ascii="Times New Roman" w:eastAsia="Times New Roman" w:hAnsi="Times New Roman" w:cs="Times New Roman"/>
          <w:sz w:val="26"/>
          <w:szCs w:val="26"/>
          <w:lang w:val="en-US"/>
        </w:rPr>
        <w:t>e</w:t>
      </w:r>
      <w:r>
        <w:rPr>
          <w:rFonts w:ascii="Times New Roman" w:eastAsia="Times New Roman" w:hAnsi="Times New Roman" w:cs="Times New Roman"/>
          <w:sz w:val="26"/>
          <w:szCs w:val="26"/>
          <w:lang w:val="en-US"/>
        </w:rPr>
        <w:t xml:space="preserve"> taxpayers the possibility to obtain </w:t>
      </w:r>
      <w:r w:rsidR="00B73273">
        <w:rPr>
          <w:rFonts w:ascii="Times New Roman" w:eastAsia="Times New Roman" w:hAnsi="Times New Roman" w:cs="Times New Roman"/>
          <w:sz w:val="26"/>
          <w:szCs w:val="26"/>
          <w:lang w:val="en-US"/>
        </w:rPr>
        <w:t>a preventive</w:t>
      </w:r>
      <w:r w:rsidR="00AB3501">
        <w:rPr>
          <w:rFonts w:ascii="Times New Roman" w:eastAsia="Times New Roman" w:hAnsi="Times New Roman" w:cs="Times New Roman"/>
          <w:sz w:val="26"/>
          <w:szCs w:val="26"/>
          <w:lang w:val="en-US"/>
        </w:rPr>
        <w:t xml:space="preserve"> and written</w:t>
      </w:r>
      <w:r w:rsidR="00B73273">
        <w:rPr>
          <w:rFonts w:ascii="Times New Roman" w:eastAsia="Times New Roman" w:hAnsi="Times New Roman" w:cs="Times New Roman"/>
          <w:sz w:val="26"/>
          <w:szCs w:val="26"/>
          <w:lang w:val="en-US"/>
        </w:rPr>
        <w:t xml:space="preserve"> opinion </w:t>
      </w:r>
      <w:r w:rsidR="001B3112">
        <w:rPr>
          <w:rFonts w:ascii="Times New Roman" w:eastAsia="Times New Roman" w:hAnsi="Times New Roman" w:cs="Times New Roman"/>
          <w:sz w:val="26"/>
          <w:szCs w:val="26"/>
          <w:lang w:val="en-US"/>
        </w:rPr>
        <w:t>by</w:t>
      </w:r>
      <w:r w:rsidR="00B73273">
        <w:rPr>
          <w:rFonts w:ascii="Times New Roman" w:eastAsia="Times New Roman" w:hAnsi="Times New Roman" w:cs="Times New Roman"/>
          <w:sz w:val="26"/>
          <w:szCs w:val="26"/>
          <w:lang w:val="en-US"/>
        </w:rPr>
        <w:t xml:space="preserve"> the</w:t>
      </w:r>
      <w:r w:rsidR="001B3112">
        <w:rPr>
          <w:rFonts w:ascii="Times New Roman" w:eastAsia="Times New Roman" w:hAnsi="Times New Roman" w:cs="Times New Roman"/>
          <w:sz w:val="26"/>
          <w:szCs w:val="26"/>
          <w:lang w:val="en-US"/>
        </w:rPr>
        <w:t xml:space="preserve"> Italian</w:t>
      </w:r>
      <w:r w:rsidR="00B73273">
        <w:rPr>
          <w:rFonts w:ascii="Times New Roman" w:eastAsia="Times New Roman" w:hAnsi="Times New Roman" w:cs="Times New Roman"/>
          <w:sz w:val="26"/>
          <w:szCs w:val="26"/>
          <w:lang w:val="en-US"/>
        </w:rPr>
        <w:t xml:space="preserve"> Revenue Agency</w:t>
      </w:r>
      <w:r w:rsidR="00AB3501">
        <w:rPr>
          <w:rFonts w:ascii="Times New Roman" w:eastAsia="Times New Roman" w:hAnsi="Times New Roman" w:cs="Times New Roman"/>
          <w:sz w:val="26"/>
          <w:szCs w:val="26"/>
          <w:lang w:val="en-US"/>
        </w:rPr>
        <w:t xml:space="preserve"> providing</w:t>
      </w:r>
      <w:r w:rsidRPr="00AB3501">
        <w:rPr>
          <w:rFonts w:ascii="Times New Roman" w:eastAsia="Times New Roman" w:hAnsi="Times New Roman" w:cs="Times New Roman"/>
          <w:sz w:val="26"/>
          <w:szCs w:val="26"/>
          <w:lang w:val="en-US"/>
        </w:rPr>
        <w:t xml:space="preserve"> </w:t>
      </w:r>
      <w:r w:rsidR="00792357" w:rsidRPr="00AB3501">
        <w:rPr>
          <w:rFonts w:ascii="Times New Roman" w:eastAsia="Times New Roman" w:hAnsi="Times New Roman" w:cs="Times New Roman"/>
          <w:sz w:val="26"/>
          <w:szCs w:val="26"/>
          <w:lang w:val="en-US"/>
        </w:rPr>
        <w:t xml:space="preserve">the correct </w:t>
      </w:r>
      <w:r w:rsidR="001B3112">
        <w:rPr>
          <w:rFonts w:ascii="Times New Roman" w:eastAsia="Times New Roman" w:hAnsi="Times New Roman" w:cs="Times New Roman"/>
          <w:sz w:val="26"/>
          <w:szCs w:val="26"/>
          <w:lang w:val="en-US"/>
        </w:rPr>
        <w:t>application</w:t>
      </w:r>
      <w:r w:rsidR="001B3112" w:rsidRPr="00AB3501">
        <w:rPr>
          <w:rFonts w:ascii="Times New Roman" w:eastAsia="Times New Roman" w:hAnsi="Times New Roman" w:cs="Times New Roman"/>
          <w:sz w:val="26"/>
          <w:szCs w:val="26"/>
          <w:lang w:val="en-US"/>
        </w:rPr>
        <w:t xml:space="preserve"> </w:t>
      </w:r>
      <w:r w:rsidR="00792357" w:rsidRPr="00AB3501">
        <w:rPr>
          <w:rFonts w:ascii="Times New Roman" w:eastAsia="Times New Roman" w:hAnsi="Times New Roman" w:cs="Times New Roman"/>
          <w:sz w:val="26"/>
          <w:szCs w:val="26"/>
          <w:lang w:val="en-US"/>
        </w:rPr>
        <w:t xml:space="preserve">of specific </w:t>
      </w:r>
      <w:r w:rsidRPr="00AB3501">
        <w:rPr>
          <w:rFonts w:ascii="Times New Roman" w:eastAsia="Times New Roman" w:hAnsi="Times New Roman" w:cs="Times New Roman"/>
          <w:sz w:val="26"/>
          <w:szCs w:val="26"/>
          <w:lang w:val="en-US"/>
        </w:rPr>
        <w:t>tax provision</w:t>
      </w:r>
      <w:r w:rsidR="00AB3501" w:rsidRPr="00AB3501">
        <w:rPr>
          <w:rFonts w:ascii="Times New Roman" w:eastAsia="Times New Roman" w:hAnsi="Times New Roman" w:cs="Times New Roman"/>
          <w:sz w:val="26"/>
          <w:szCs w:val="26"/>
          <w:lang w:val="en-US"/>
        </w:rPr>
        <w:t>s</w:t>
      </w:r>
      <w:r w:rsidR="00CA2369">
        <w:rPr>
          <w:rFonts w:ascii="Times New Roman" w:eastAsia="Times New Roman" w:hAnsi="Times New Roman" w:cs="Times New Roman"/>
          <w:sz w:val="26"/>
          <w:szCs w:val="26"/>
          <w:lang w:val="en-US"/>
        </w:rPr>
        <w:t>.</w:t>
      </w:r>
      <w:r w:rsidRPr="002839BF">
        <w:rPr>
          <w:rFonts w:ascii="Times New Roman" w:eastAsia="Times New Roman" w:hAnsi="Times New Roman" w:cs="Times New Roman"/>
          <w:sz w:val="26"/>
          <w:szCs w:val="26"/>
          <w:lang w:val="en-US"/>
        </w:rPr>
        <w:t xml:space="preserve"> </w:t>
      </w:r>
      <w:r w:rsidR="00AB3501" w:rsidRPr="002839BF">
        <w:rPr>
          <w:rFonts w:ascii="Times New Roman" w:eastAsia="Times New Roman" w:hAnsi="Times New Roman" w:cs="Times New Roman"/>
          <w:sz w:val="26"/>
          <w:szCs w:val="26"/>
          <w:lang w:val="en-US"/>
        </w:rPr>
        <w:t xml:space="preserve">The Taxpayer’s Advance Ruling </w:t>
      </w:r>
      <w:r w:rsidR="002F2A3C">
        <w:rPr>
          <w:rFonts w:ascii="Times New Roman" w:eastAsia="Times New Roman" w:hAnsi="Times New Roman" w:cs="Times New Roman"/>
          <w:sz w:val="26"/>
          <w:szCs w:val="26"/>
          <w:lang w:val="en-US"/>
        </w:rPr>
        <w:t>can be</w:t>
      </w:r>
      <w:r w:rsidR="00AB3501" w:rsidRPr="002839BF">
        <w:rPr>
          <w:rFonts w:ascii="Times New Roman" w:eastAsia="Times New Roman" w:hAnsi="Times New Roman" w:cs="Times New Roman"/>
          <w:sz w:val="26"/>
          <w:szCs w:val="26"/>
          <w:lang w:val="en-US"/>
        </w:rPr>
        <w:t xml:space="preserve"> considered as one of the “</w:t>
      </w:r>
      <w:r w:rsidR="002F2A3C">
        <w:rPr>
          <w:rFonts w:ascii="Times New Roman" w:eastAsia="Times New Roman" w:hAnsi="Times New Roman" w:cs="Times New Roman"/>
          <w:sz w:val="26"/>
          <w:szCs w:val="26"/>
          <w:lang w:val="en-US"/>
        </w:rPr>
        <w:t xml:space="preserve">tax </w:t>
      </w:r>
      <w:r w:rsidR="00AB3501" w:rsidRPr="002839BF">
        <w:rPr>
          <w:rFonts w:ascii="Times New Roman" w:eastAsia="Times New Roman" w:hAnsi="Times New Roman" w:cs="Times New Roman"/>
          <w:sz w:val="26"/>
          <w:szCs w:val="26"/>
          <w:lang w:val="en-US"/>
        </w:rPr>
        <w:t xml:space="preserve">compliance institutes” since its preventive nature </w:t>
      </w:r>
      <w:r w:rsidR="002839BF" w:rsidRPr="002839BF">
        <w:rPr>
          <w:rFonts w:ascii="Times New Roman" w:eastAsia="Times New Roman" w:hAnsi="Times New Roman" w:cs="Times New Roman"/>
          <w:sz w:val="26"/>
          <w:szCs w:val="26"/>
          <w:lang w:val="en-US"/>
        </w:rPr>
        <w:t xml:space="preserve">allows taxpayers to </w:t>
      </w:r>
      <w:r w:rsidR="00CA2369">
        <w:rPr>
          <w:rFonts w:ascii="Times New Roman" w:eastAsia="Times New Roman" w:hAnsi="Times New Roman" w:cs="Times New Roman"/>
          <w:sz w:val="26"/>
          <w:szCs w:val="26"/>
          <w:lang w:val="en-US"/>
        </w:rPr>
        <w:t>orient</w:t>
      </w:r>
      <w:r w:rsidR="002839BF" w:rsidRPr="002839BF">
        <w:rPr>
          <w:rFonts w:ascii="Times New Roman" w:eastAsia="Times New Roman" w:hAnsi="Times New Roman" w:cs="Times New Roman"/>
          <w:sz w:val="26"/>
          <w:szCs w:val="26"/>
          <w:lang w:val="en-US"/>
        </w:rPr>
        <w:t xml:space="preserve"> their behaviour</w:t>
      </w:r>
      <w:r w:rsidR="00CA2369">
        <w:rPr>
          <w:rFonts w:ascii="Times New Roman" w:eastAsia="Times New Roman" w:hAnsi="Times New Roman" w:cs="Times New Roman"/>
          <w:sz w:val="26"/>
          <w:szCs w:val="26"/>
          <w:lang w:val="en-US"/>
        </w:rPr>
        <w:t xml:space="preserve"> and, consequently, to</w:t>
      </w:r>
      <w:r w:rsidR="002839BF" w:rsidRPr="002839BF">
        <w:rPr>
          <w:rFonts w:ascii="Times New Roman" w:eastAsia="Times New Roman" w:hAnsi="Times New Roman" w:cs="Times New Roman"/>
          <w:sz w:val="26"/>
          <w:szCs w:val="26"/>
          <w:lang w:val="en-US"/>
        </w:rPr>
        <w:t xml:space="preserve"> prevent litigations with the Revenue Agency</w:t>
      </w:r>
      <w:r w:rsidR="00CA2369">
        <w:rPr>
          <w:rFonts w:ascii="Times New Roman" w:eastAsia="Times New Roman" w:hAnsi="Times New Roman" w:cs="Times New Roman"/>
          <w:sz w:val="26"/>
          <w:szCs w:val="26"/>
          <w:lang w:val="en-US"/>
        </w:rPr>
        <w:t xml:space="preserve">. In other words, taxpayers can </w:t>
      </w:r>
      <w:r w:rsidR="00CA2369" w:rsidRPr="002839BF">
        <w:rPr>
          <w:rFonts w:ascii="Times New Roman" w:eastAsia="Times New Roman" w:hAnsi="Times New Roman" w:cs="Times New Roman"/>
          <w:sz w:val="26"/>
          <w:szCs w:val="26"/>
          <w:lang w:val="en-US"/>
        </w:rPr>
        <w:t>manag</w:t>
      </w:r>
      <w:r w:rsidR="00CA2369">
        <w:rPr>
          <w:rFonts w:ascii="Times New Roman" w:eastAsia="Times New Roman" w:hAnsi="Times New Roman" w:cs="Times New Roman"/>
          <w:sz w:val="26"/>
          <w:szCs w:val="26"/>
          <w:lang w:val="en-US"/>
        </w:rPr>
        <w:t>e their</w:t>
      </w:r>
      <w:r w:rsidR="00CA2369" w:rsidRPr="002839BF">
        <w:rPr>
          <w:rFonts w:ascii="Times New Roman" w:eastAsia="Times New Roman" w:hAnsi="Times New Roman" w:cs="Times New Roman"/>
          <w:sz w:val="26"/>
          <w:szCs w:val="26"/>
          <w:lang w:val="en-US"/>
        </w:rPr>
        <w:t xml:space="preserve"> tax risks</w:t>
      </w:r>
      <w:r w:rsidR="002839BF" w:rsidRPr="002839BF">
        <w:rPr>
          <w:rFonts w:ascii="Times New Roman" w:eastAsia="Times New Roman" w:hAnsi="Times New Roman" w:cs="Times New Roman"/>
          <w:sz w:val="26"/>
          <w:szCs w:val="26"/>
          <w:lang w:val="en-US"/>
        </w:rPr>
        <w:t xml:space="preserve"> </w:t>
      </w:r>
      <w:r w:rsidR="00CA2369" w:rsidRPr="001B3112">
        <w:rPr>
          <w:rFonts w:ascii="Times New Roman" w:eastAsia="Times New Roman" w:hAnsi="Times New Roman" w:cs="Times New Roman"/>
          <w:sz w:val="26"/>
          <w:szCs w:val="26"/>
          <w:lang w:val="en-US"/>
        </w:rPr>
        <w:t>under the principle of fair cooperation with Revenue Agency</w:t>
      </w:r>
      <w:r w:rsidR="002839BF" w:rsidRPr="001B3112">
        <w:rPr>
          <w:rFonts w:ascii="Times New Roman" w:eastAsia="Times New Roman" w:hAnsi="Times New Roman" w:cs="Times New Roman"/>
          <w:sz w:val="26"/>
          <w:szCs w:val="26"/>
          <w:lang w:val="en-US"/>
        </w:rPr>
        <w:t>.</w:t>
      </w:r>
      <w:r w:rsidR="002F2A3C">
        <w:rPr>
          <w:rFonts w:ascii="Times New Roman" w:eastAsia="Times New Roman" w:hAnsi="Times New Roman" w:cs="Times New Roman"/>
          <w:sz w:val="26"/>
          <w:szCs w:val="26"/>
          <w:lang w:val="en-US"/>
        </w:rPr>
        <w:t xml:space="preserve"> </w:t>
      </w:r>
    </w:p>
    <w:p w14:paraId="60E39228" w14:textId="31DCE909" w:rsidR="00B73273" w:rsidRDefault="00B73273" w:rsidP="00F21245">
      <w:pPr>
        <w:pStyle w:val="Paragrafoelenco"/>
        <w:spacing w:after="0" w:line="360" w:lineRule="auto"/>
        <w:ind w:left="284" w:firstLine="632"/>
        <w:rPr>
          <w:rFonts w:ascii="Times New Roman" w:eastAsia="Times New Roman" w:hAnsi="Times New Roman" w:cs="Times New Roman"/>
          <w:sz w:val="26"/>
          <w:szCs w:val="26"/>
          <w:lang w:val="en-US"/>
        </w:rPr>
      </w:pPr>
      <w:r>
        <w:rPr>
          <w:rFonts w:ascii="Times New Roman" w:eastAsia="Times New Roman" w:hAnsi="Times New Roman" w:cs="Times New Roman"/>
          <w:b/>
          <w:i/>
          <w:sz w:val="26"/>
          <w:szCs w:val="26"/>
          <w:lang w:val="en-US"/>
        </w:rPr>
        <w:t xml:space="preserve">Benefits. </w:t>
      </w:r>
      <w:r w:rsidR="008538A1">
        <w:rPr>
          <w:rFonts w:ascii="Times New Roman" w:eastAsia="Times New Roman" w:hAnsi="Times New Roman" w:cs="Times New Roman"/>
          <w:sz w:val="26"/>
          <w:szCs w:val="26"/>
          <w:lang w:val="en-US"/>
        </w:rPr>
        <w:t xml:space="preserve">The </w:t>
      </w:r>
      <w:r w:rsidR="00AB3501">
        <w:rPr>
          <w:rFonts w:ascii="Times New Roman" w:eastAsia="Times New Roman" w:hAnsi="Times New Roman" w:cs="Times New Roman"/>
          <w:sz w:val="26"/>
          <w:szCs w:val="26"/>
          <w:lang w:val="en-US"/>
        </w:rPr>
        <w:t>Revenue Agency’s reply</w:t>
      </w:r>
      <w:r w:rsidR="008538A1">
        <w:rPr>
          <w:rFonts w:ascii="Times New Roman" w:eastAsia="Times New Roman" w:hAnsi="Times New Roman" w:cs="Times New Roman"/>
          <w:sz w:val="26"/>
          <w:szCs w:val="26"/>
          <w:lang w:val="en-US"/>
        </w:rPr>
        <w:t xml:space="preserve"> has to be given</w:t>
      </w:r>
      <w:r w:rsidR="00AB3501">
        <w:rPr>
          <w:rFonts w:ascii="Times New Roman" w:eastAsia="Times New Roman" w:hAnsi="Times New Roman" w:cs="Times New Roman"/>
          <w:sz w:val="26"/>
          <w:szCs w:val="26"/>
          <w:lang w:val="en-US"/>
        </w:rPr>
        <w:t xml:space="preserve"> </w:t>
      </w:r>
      <w:r w:rsidR="008538A1">
        <w:rPr>
          <w:rFonts w:ascii="Times New Roman" w:eastAsia="Times New Roman" w:hAnsi="Times New Roman" w:cs="Times New Roman"/>
          <w:sz w:val="26"/>
          <w:szCs w:val="26"/>
          <w:lang w:val="en-US"/>
        </w:rPr>
        <w:t xml:space="preserve">within certain deadlines laid down by law, and if the </w:t>
      </w:r>
      <w:r w:rsidR="00AB3501">
        <w:rPr>
          <w:rFonts w:ascii="Times New Roman" w:eastAsia="Times New Roman" w:hAnsi="Times New Roman" w:cs="Times New Roman"/>
          <w:sz w:val="26"/>
          <w:szCs w:val="26"/>
          <w:lang w:val="en-US"/>
        </w:rPr>
        <w:t xml:space="preserve">Agency </w:t>
      </w:r>
      <w:r w:rsidR="008538A1">
        <w:rPr>
          <w:rFonts w:ascii="Times New Roman" w:eastAsia="Times New Roman" w:hAnsi="Times New Roman" w:cs="Times New Roman"/>
          <w:sz w:val="26"/>
          <w:szCs w:val="26"/>
          <w:lang w:val="en-US"/>
        </w:rPr>
        <w:t xml:space="preserve">does not issue the </w:t>
      </w:r>
      <w:r w:rsidR="00AB3501">
        <w:rPr>
          <w:rFonts w:ascii="Times New Roman" w:eastAsia="Times New Roman" w:hAnsi="Times New Roman" w:cs="Times New Roman"/>
          <w:sz w:val="26"/>
          <w:szCs w:val="26"/>
          <w:lang w:val="en-US"/>
        </w:rPr>
        <w:t>response</w:t>
      </w:r>
      <w:r w:rsidR="008538A1">
        <w:rPr>
          <w:rFonts w:ascii="Times New Roman" w:eastAsia="Times New Roman" w:hAnsi="Times New Roman" w:cs="Times New Roman"/>
          <w:sz w:val="26"/>
          <w:szCs w:val="26"/>
          <w:lang w:val="en-US"/>
        </w:rPr>
        <w:t xml:space="preserve"> respecting the time limits</w:t>
      </w:r>
      <w:r w:rsidR="00AB3501">
        <w:rPr>
          <w:rFonts w:ascii="Times New Roman" w:eastAsia="Times New Roman" w:hAnsi="Times New Roman" w:cs="Times New Roman"/>
          <w:sz w:val="26"/>
          <w:szCs w:val="26"/>
          <w:lang w:val="en-US"/>
        </w:rPr>
        <w:t>,</w:t>
      </w:r>
      <w:r w:rsidR="008538A1">
        <w:rPr>
          <w:rFonts w:ascii="Times New Roman" w:eastAsia="Times New Roman" w:hAnsi="Times New Roman" w:cs="Times New Roman"/>
          <w:sz w:val="26"/>
          <w:szCs w:val="26"/>
          <w:lang w:val="en-US"/>
        </w:rPr>
        <w:t xml:space="preserve"> the taxpayer’s interpretation</w:t>
      </w:r>
      <w:r w:rsidR="00AB3501">
        <w:rPr>
          <w:rFonts w:ascii="Times New Roman" w:eastAsia="Times New Roman" w:hAnsi="Times New Roman" w:cs="Times New Roman"/>
          <w:sz w:val="26"/>
          <w:szCs w:val="26"/>
          <w:lang w:val="en-US"/>
        </w:rPr>
        <w:t xml:space="preserve"> (where </w:t>
      </w:r>
      <w:r w:rsidR="008538A1">
        <w:rPr>
          <w:rFonts w:ascii="Times New Roman" w:eastAsia="Times New Roman" w:hAnsi="Times New Roman" w:cs="Times New Roman"/>
          <w:sz w:val="26"/>
          <w:szCs w:val="26"/>
          <w:lang w:val="en-US"/>
        </w:rPr>
        <w:t>represented in the query</w:t>
      </w:r>
      <w:r w:rsidR="00AB3501">
        <w:rPr>
          <w:rFonts w:ascii="Times New Roman" w:eastAsia="Times New Roman" w:hAnsi="Times New Roman" w:cs="Times New Roman"/>
          <w:sz w:val="26"/>
          <w:szCs w:val="26"/>
          <w:lang w:val="en-US"/>
        </w:rPr>
        <w:t>)</w:t>
      </w:r>
      <w:r w:rsidR="008538A1">
        <w:rPr>
          <w:rFonts w:ascii="Times New Roman" w:eastAsia="Times New Roman" w:hAnsi="Times New Roman" w:cs="Times New Roman"/>
          <w:sz w:val="26"/>
          <w:szCs w:val="26"/>
          <w:lang w:val="en-US"/>
        </w:rPr>
        <w:t xml:space="preserve"> is deemed to be accepted (</w:t>
      </w:r>
      <w:r w:rsidR="00471020">
        <w:rPr>
          <w:rFonts w:ascii="Times New Roman" w:eastAsia="Times New Roman" w:hAnsi="Times New Roman" w:cs="Times New Roman"/>
          <w:sz w:val="26"/>
          <w:szCs w:val="26"/>
          <w:lang w:val="en-US"/>
        </w:rPr>
        <w:t xml:space="preserve">i.e. </w:t>
      </w:r>
      <w:r w:rsidR="008538A1">
        <w:rPr>
          <w:rFonts w:ascii="Times New Roman" w:eastAsia="Times New Roman" w:hAnsi="Times New Roman" w:cs="Times New Roman"/>
          <w:sz w:val="26"/>
          <w:szCs w:val="26"/>
          <w:lang w:val="en-US"/>
        </w:rPr>
        <w:t>“silence means assent”</w:t>
      </w:r>
      <w:r w:rsidR="00506148">
        <w:rPr>
          <w:rFonts w:ascii="Times New Roman" w:eastAsia="Times New Roman" w:hAnsi="Times New Roman" w:cs="Times New Roman"/>
          <w:sz w:val="26"/>
          <w:szCs w:val="26"/>
          <w:lang w:val="en-US"/>
        </w:rPr>
        <w:t xml:space="preserve"> rule</w:t>
      </w:r>
      <w:r w:rsidR="008538A1">
        <w:rPr>
          <w:rFonts w:ascii="Times New Roman" w:eastAsia="Times New Roman" w:hAnsi="Times New Roman" w:cs="Times New Roman"/>
          <w:sz w:val="26"/>
          <w:szCs w:val="26"/>
          <w:lang w:val="en-US"/>
        </w:rPr>
        <w:t>).</w:t>
      </w:r>
      <w:r w:rsidR="008538A1" w:rsidRPr="008538A1">
        <w:rPr>
          <w:lang w:val="en-US"/>
        </w:rPr>
        <w:t xml:space="preserve"> </w:t>
      </w:r>
      <w:r w:rsidR="008538A1" w:rsidRPr="008538A1">
        <w:rPr>
          <w:rFonts w:ascii="Times New Roman" w:eastAsia="Times New Roman" w:hAnsi="Times New Roman" w:cs="Times New Roman"/>
          <w:sz w:val="26"/>
          <w:szCs w:val="26"/>
          <w:lang w:val="en-US"/>
        </w:rPr>
        <w:t xml:space="preserve">With respect to issues covered by the </w:t>
      </w:r>
      <w:r w:rsidR="008538A1">
        <w:rPr>
          <w:rFonts w:ascii="Times New Roman" w:eastAsia="Times New Roman" w:hAnsi="Times New Roman" w:cs="Times New Roman"/>
          <w:sz w:val="26"/>
          <w:szCs w:val="26"/>
          <w:lang w:val="en-US"/>
        </w:rPr>
        <w:t>reply, all administrative acts adopted</w:t>
      </w:r>
      <w:r w:rsidR="008538A1" w:rsidRPr="008538A1">
        <w:rPr>
          <w:rFonts w:ascii="Times New Roman" w:eastAsia="Times New Roman" w:hAnsi="Times New Roman" w:cs="Times New Roman"/>
          <w:sz w:val="26"/>
          <w:szCs w:val="26"/>
          <w:lang w:val="en-US"/>
        </w:rPr>
        <w:t xml:space="preserve"> by Tax Authorities in</w:t>
      </w:r>
      <w:r w:rsidR="008538A1">
        <w:rPr>
          <w:rFonts w:ascii="Times New Roman" w:eastAsia="Times New Roman" w:hAnsi="Times New Roman" w:cs="Times New Roman"/>
          <w:sz w:val="26"/>
          <w:szCs w:val="26"/>
          <w:lang w:val="en-US"/>
        </w:rPr>
        <w:t xml:space="preserve"> </w:t>
      </w:r>
      <w:r w:rsidR="008538A1" w:rsidRPr="008538A1">
        <w:rPr>
          <w:rFonts w:ascii="Times New Roman" w:eastAsia="Times New Roman" w:hAnsi="Times New Roman" w:cs="Times New Roman"/>
          <w:sz w:val="26"/>
          <w:szCs w:val="26"/>
          <w:lang w:val="en-US"/>
        </w:rPr>
        <w:t xml:space="preserve">contravention of the same reply </w:t>
      </w:r>
      <w:r w:rsidR="00292477" w:rsidRPr="008538A1">
        <w:rPr>
          <w:rFonts w:ascii="Times New Roman" w:eastAsia="Times New Roman" w:hAnsi="Times New Roman" w:cs="Times New Roman"/>
          <w:sz w:val="26"/>
          <w:szCs w:val="26"/>
          <w:lang w:val="en-US"/>
        </w:rPr>
        <w:t xml:space="preserve">shall be null and void </w:t>
      </w:r>
      <w:r w:rsidR="008538A1" w:rsidRPr="008538A1">
        <w:rPr>
          <w:rFonts w:ascii="Times New Roman" w:eastAsia="Times New Roman" w:hAnsi="Times New Roman" w:cs="Times New Roman"/>
          <w:sz w:val="26"/>
          <w:szCs w:val="26"/>
          <w:lang w:val="en-US"/>
        </w:rPr>
        <w:t>(including the</w:t>
      </w:r>
      <w:r w:rsidR="008538A1">
        <w:rPr>
          <w:rFonts w:ascii="Times New Roman" w:eastAsia="Times New Roman" w:hAnsi="Times New Roman" w:cs="Times New Roman"/>
          <w:sz w:val="26"/>
          <w:szCs w:val="26"/>
          <w:lang w:val="en-US"/>
        </w:rPr>
        <w:t xml:space="preserve"> </w:t>
      </w:r>
      <w:r w:rsidR="008538A1" w:rsidRPr="008538A1">
        <w:rPr>
          <w:rFonts w:ascii="Times New Roman" w:eastAsia="Times New Roman" w:hAnsi="Times New Roman" w:cs="Times New Roman"/>
          <w:sz w:val="26"/>
          <w:szCs w:val="26"/>
          <w:lang w:val="en-US"/>
        </w:rPr>
        <w:t xml:space="preserve">interpretation on which </w:t>
      </w:r>
      <w:r w:rsidR="008538A1">
        <w:rPr>
          <w:rFonts w:ascii="Times New Roman" w:eastAsia="Times New Roman" w:hAnsi="Times New Roman" w:cs="Times New Roman"/>
          <w:sz w:val="26"/>
          <w:szCs w:val="26"/>
          <w:lang w:val="en-US"/>
        </w:rPr>
        <w:t>“</w:t>
      </w:r>
      <w:r w:rsidR="008538A1" w:rsidRPr="008538A1">
        <w:rPr>
          <w:rFonts w:ascii="Times New Roman" w:eastAsia="Times New Roman" w:hAnsi="Times New Roman" w:cs="Times New Roman"/>
          <w:sz w:val="26"/>
          <w:szCs w:val="26"/>
          <w:lang w:val="en-US"/>
        </w:rPr>
        <w:t>silence means assent</w:t>
      </w:r>
      <w:r w:rsidR="008538A1">
        <w:rPr>
          <w:rFonts w:ascii="Times New Roman" w:eastAsia="Times New Roman" w:hAnsi="Times New Roman" w:cs="Times New Roman"/>
          <w:sz w:val="26"/>
          <w:szCs w:val="26"/>
          <w:lang w:val="en-US"/>
        </w:rPr>
        <w:t>”</w:t>
      </w:r>
      <w:r w:rsidR="008538A1" w:rsidRPr="008538A1">
        <w:rPr>
          <w:rFonts w:ascii="Times New Roman" w:eastAsia="Times New Roman" w:hAnsi="Times New Roman" w:cs="Times New Roman"/>
          <w:sz w:val="26"/>
          <w:szCs w:val="26"/>
          <w:lang w:val="en-US"/>
        </w:rPr>
        <w:t xml:space="preserve"> was adopted).</w:t>
      </w:r>
      <w:r w:rsidR="008538A1">
        <w:rPr>
          <w:rFonts w:ascii="Times New Roman" w:eastAsia="Times New Roman" w:hAnsi="Times New Roman" w:cs="Times New Roman"/>
          <w:sz w:val="26"/>
          <w:szCs w:val="26"/>
          <w:lang w:val="en-US"/>
        </w:rPr>
        <w:t xml:space="preserve"> </w:t>
      </w:r>
      <w:r w:rsidR="008538A1" w:rsidRPr="008538A1">
        <w:rPr>
          <w:rFonts w:ascii="Times New Roman" w:eastAsia="Times New Roman" w:hAnsi="Times New Roman" w:cs="Times New Roman"/>
          <w:sz w:val="26"/>
          <w:szCs w:val="26"/>
          <w:lang w:val="en-US"/>
        </w:rPr>
        <w:t xml:space="preserve">It follows that the reply </w:t>
      </w:r>
      <w:r w:rsidR="00292477" w:rsidRPr="008538A1">
        <w:rPr>
          <w:rFonts w:ascii="Times New Roman" w:eastAsia="Times New Roman" w:hAnsi="Times New Roman" w:cs="Times New Roman"/>
          <w:sz w:val="26"/>
          <w:szCs w:val="26"/>
          <w:lang w:val="en-US"/>
        </w:rPr>
        <w:t>prevents auditors from</w:t>
      </w:r>
      <w:r w:rsidR="00292477">
        <w:rPr>
          <w:rFonts w:ascii="Times New Roman" w:eastAsia="Times New Roman" w:hAnsi="Times New Roman" w:cs="Times New Roman"/>
          <w:sz w:val="26"/>
          <w:szCs w:val="26"/>
          <w:lang w:val="en-US"/>
        </w:rPr>
        <w:t xml:space="preserve"> </w:t>
      </w:r>
      <w:r w:rsidR="00292477" w:rsidRPr="008538A1">
        <w:rPr>
          <w:rFonts w:ascii="Times New Roman" w:eastAsia="Times New Roman" w:hAnsi="Times New Roman" w:cs="Times New Roman"/>
          <w:sz w:val="26"/>
          <w:szCs w:val="26"/>
          <w:lang w:val="en-US"/>
        </w:rPr>
        <w:t xml:space="preserve">expressing objections not in line with it </w:t>
      </w:r>
      <w:r w:rsidR="008538A1" w:rsidRPr="008538A1">
        <w:rPr>
          <w:rFonts w:ascii="Times New Roman" w:eastAsia="Times New Roman" w:hAnsi="Times New Roman" w:cs="Times New Roman"/>
          <w:sz w:val="26"/>
          <w:szCs w:val="26"/>
          <w:lang w:val="en-US"/>
        </w:rPr>
        <w:t>(as long as there are no changes in the legal and</w:t>
      </w:r>
      <w:r w:rsidR="008538A1">
        <w:rPr>
          <w:rFonts w:ascii="Times New Roman" w:eastAsia="Times New Roman" w:hAnsi="Times New Roman" w:cs="Times New Roman"/>
          <w:sz w:val="26"/>
          <w:szCs w:val="26"/>
          <w:lang w:val="en-US"/>
        </w:rPr>
        <w:t xml:space="preserve"> </w:t>
      </w:r>
      <w:r w:rsidR="008538A1" w:rsidRPr="008538A1">
        <w:rPr>
          <w:rFonts w:ascii="Times New Roman" w:eastAsia="Times New Roman" w:hAnsi="Times New Roman" w:cs="Times New Roman"/>
          <w:sz w:val="26"/>
          <w:szCs w:val="26"/>
          <w:lang w:val="en-US"/>
        </w:rPr>
        <w:t xml:space="preserve">material conditions on the basis of which </w:t>
      </w:r>
      <w:r w:rsidR="00471020">
        <w:rPr>
          <w:rFonts w:ascii="Times New Roman" w:eastAsia="Times New Roman" w:hAnsi="Times New Roman" w:cs="Times New Roman"/>
          <w:sz w:val="26"/>
          <w:szCs w:val="26"/>
          <w:lang w:val="en-US"/>
        </w:rPr>
        <w:t>the reply</w:t>
      </w:r>
      <w:r w:rsidR="00471020" w:rsidRPr="008538A1">
        <w:rPr>
          <w:rFonts w:ascii="Times New Roman" w:eastAsia="Times New Roman" w:hAnsi="Times New Roman" w:cs="Times New Roman"/>
          <w:sz w:val="26"/>
          <w:szCs w:val="26"/>
          <w:lang w:val="en-US"/>
        </w:rPr>
        <w:t xml:space="preserve"> </w:t>
      </w:r>
      <w:r w:rsidR="008538A1" w:rsidRPr="008538A1">
        <w:rPr>
          <w:rFonts w:ascii="Times New Roman" w:eastAsia="Times New Roman" w:hAnsi="Times New Roman" w:cs="Times New Roman"/>
          <w:sz w:val="26"/>
          <w:szCs w:val="26"/>
          <w:lang w:val="en-US"/>
        </w:rPr>
        <w:t>was given).</w:t>
      </w:r>
    </w:p>
    <w:p w14:paraId="156AE453" w14:textId="070E42CE" w:rsidR="001B3112" w:rsidRDefault="00506148" w:rsidP="00F21245">
      <w:pPr>
        <w:pStyle w:val="Paragrafoelenco"/>
        <w:spacing w:after="0" w:line="360" w:lineRule="auto"/>
        <w:ind w:left="284" w:firstLine="632"/>
        <w:rPr>
          <w:rFonts w:ascii="Times New Roman" w:eastAsia="Times New Roman" w:hAnsi="Times New Roman" w:cs="Times New Roman"/>
          <w:sz w:val="26"/>
          <w:szCs w:val="26"/>
          <w:lang w:val="en-US"/>
        </w:rPr>
      </w:pPr>
      <w:r>
        <w:rPr>
          <w:rFonts w:ascii="Times New Roman" w:eastAsia="Times New Roman" w:hAnsi="Times New Roman" w:cs="Times New Roman"/>
          <w:b/>
          <w:i/>
          <w:sz w:val="26"/>
          <w:szCs w:val="26"/>
          <w:lang w:val="en-US"/>
        </w:rPr>
        <w:lastRenderedPageBreak/>
        <w:t>Qualifying persons.</w:t>
      </w:r>
      <w:r>
        <w:rPr>
          <w:rFonts w:ascii="Times New Roman" w:eastAsia="Times New Roman" w:hAnsi="Times New Roman" w:cs="Times New Roman"/>
          <w:sz w:val="26"/>
          <w:szCs w:val="26"/>
          <w:lang w:val="en-US"/>
        </w:rPr>
        <w:t xml:space="preserve"> Both resident and non-resident taxpayers (</w:t>
      </w:r>
      <w:r w:rsidR="00F21245">
        <w:rPr>
          <w:rFonts w:ascii="Times New Roman" w:eastAsia="Times New Roman" w:hAnsi="Times New Roman" w:cs="Times New Roman"/>
          <w:sz w:val="26"/>
          <w:szCs w:val="26"/>
          <w:lang w:val="en-US"/>
        </w:rPr>
        <w:t xml:space="preserve">directly or by means of their </w:t>
      </w:r>
      <w:r w:rsidR="00F21245" w:rsidRPr="00F21245">
        <w:rPr>
          <w:rFonts w:ascii="Times New Roman" w:eastAsia="Times New Roman" w:hAnsi="Times New Roman" w:cs="Times New Roman"/>
          <w:sz w:val="26"/>
          <w:szCs w:val="26"/>
          <w:lang w:val="en-US"/>
        </w:rPr>
        <w:t xml:space="preserve">elective representatives </w:t>
      </w:r>
      <w:r>
        <w:rPr>
          <w:rFonts w:ascii="Times New Roman" w:eastAsia="Times New Roman" w:hAnsi="Times New Roman" w:cs="Times New Roman"/>
          <w:sz w:val="26"/>
          <w:szCs w:val="26"/>
          <w:lang w:val="en-US"/>
        </w:rPr>
        <w:t xml:space="preserve">in Italy) are entitled to forward the query to the </w:t>
      </w:r>
      <w:r w:rsidR="001B3112">
        <w:rPr>
          <w:rFonts w:ascii="Times New Roman" w:eastAsia="Times New Roman" w:hAnsi="Times New Roman" w:cs="Times New Roman"/>
          <w:sz w:val="26"/>
          <w:szCs w:val="26"/>
          <w:lang w:val="en-US"/>
        </w:rPr>
        <w:t xml:space="preserve">Italian </w:t>
      </w:r>
      <w:r>
        <w:rPr>
          <w:rFonts w:ascii="Times New Roman" w:eastAsia="Times New Roman" w:hAnsi="Times New Roman" w:cs="Times New Roman"/>
          <w:sz w:val="26"/>
          <w:szCs w:val="26"/>
          <w:lang w:val="en-US"/>
        </w:rPr>
        <w:t>Revenue Agency.</w:t>
      </w:r>
      <w:r w:rsidR="002F2A3C">
        <w:rPr>
          <w:rFonts w:ascii="Times New Roman" w:eastAsia="Times New Roman" w:hAnsi="Times New Roman" w:cs="Times New Roman"/>
          <w:sz w:val="26"/>
          <w:szCs w:val="26"/>
          <w:lang w:val="en-US"/>
        </w:rPr>
        <w:t xml:space="preserve"> The </w:t>
      </w:r>
      <w:r w:rsidR="00BC03A9">
        <w:rPr>
          <w:rFonts w:ascii="Times New Roman" w:eastAsia="Times New Roman" w:hAnsi="Times New Roman" w:cs="Times New Roman"/>
          <w:sz w:val="26"/>
          <w:szCs w:val="26"/>
          <w:lang w:val="en-US"/>
        </w:rPr>
        <w:t xml:space="preserve">query </w:t>
      </w:r>
      <w:r w:rsidR="002F2A3C">
        <w:rPr>
          <w:rFonts w:ascii="Times New Roman" w:eastAsia="Times New Roman" w:hAnsi="Times New Roman" w:cs="Times New Roman"/>
          <w:sz w:val="26"/>
          <w:szCs w:val="26"/>
          <w:lang w:val="en-US"/>
        </w:rPr>
        <w:t>has to</w:t>
      </w:r>
      <w:r w:rsidR="00292477">
        <w:rPr>
          <w:rFonts w:ascii="Times New Roman" w:eastAsia="Times New Roman" w:hAnsi="Times New Roman" w:cs="Times New Roman"/>
          <w:sz w:val="26"/>
          <w:szCs w:val="26"/>
          <w:lang w:val="en-US"/>
        </w:rPr>
        <w:t xml:space="preserve"> be</w:t>
      </w:r>
      <w:r w:rsidR="002F2A3C">
        <w:rPr>
          <w:rFonts w:ascii="Times New Roman" w:eastAsia="Times New Roman" w:hAnsi="Times New Roman" w:cs="Times New Roman"/>
          <w:sz w:val="26"/>
          <w:szCs w:val="26"/>
          <w:lang w:val="en-US"/>
        </w:rPr>
        <w:t xml:space="preserve"> </w:t>
      </w:r>
      <w:r w:rsidR="00F21245">
        <w:rPr>
          <w:rFonts w:ascii="Times New Roman" w:eastAsia="Times New Roman" w:hAnsi="Times New Roman" w:cs="Times New Roman"/>
          <w:sz w:val="26"/>
          <w:szCs w:val="26"/>
          <w:lang w:val="en-US"/>
        </w:rPr>
        <w:t>su</w:t>
      </w:r>
      <w:r w:rsidR="002F2A3C">
        <w:rPr>
          <w:rFonts w:ascii="Times New Roman" w:eastAsia="Times New Roman" w:hAnsi="Times New Roman" w:cs="Times New Roman"/>
          <w:sz w:val="26"/>
          <w:szCs w:val="26"/>
          <w:lang w:val="en-US"/>
        </w:rPr>
        <w:t>b</w:t>
      </w:r>
      <w:r w:rsidR="00F21245">
        <w:rPr>
          <w:rFonts w:ascii="Times New Roman" w:eastAsia="Times New Roman" w:hAnsi="Times New Roman" w:cs="Times New Roman"/>
          <w:sz w:val="26"/>
          <w:szCs w:val="26"/>
          <w:lang w:val="en-US"/>
        </w:rPr>
        <w:t xml:space="preserve">mitted </w:t>
      </w:r>
      <w:r w:rsidR="001B3112">
        <w:rPr>
          <w:rFonts w:ascii="Times New Roman" w:eastAsia="Times New Roman" w:hAnsi="Times New Roman" w:cs="Times New Roman"/>
          <w:sz w:val="26"/>
          <w:szCs w:val="26"/>
          <w:lang w:val="en-US"/>
        </w:rPr>
        <w:t>before the application of the tax provisions.</w:t>
      </w:r>
    </w:p>
    <w:p w14:paraId="40C5F049" w14:textId="77777777" w:rsidR="00506148" w:rsidRPr="002F2A3C" w:rsidRDefault="00506148" w:rsidP="00F21245">
      <w:pPr>
        <w:pStyle w:val="Paragrafoelenco"/>
        <w:spacing w:after="0" w:line="360" w:lineRule="auto"/>
        <w:ind w:left="426" w:firstLine="490"/>
        <w:rPr>
          <w:rFonts w:ascii="Times New Roman" w:eastAsia="Times New Roman" w:hAnsi="Times New Roman" w:cs="Times New Roman"/>
          <w:sz w:val="26"/>
          <w:szCs w:val="26"/>
          <w:lang w:val="en-US"/>
        </w:rPr>
      </w:pPr>
      <w:r w:rsidRPr="002F2A3C">
        <w:rPr>
          <w:rFonts w:ascii="Times New Roman" w:eastAsia="Times New Roman" w:hAnsi="Times New Roman" w:cs="Times New Roman"/>
          <w:b/>
          <w:i/>
          <w:sz w:val="26"/>
          <w:szCs w:val="26"/>
          <w:lang w:val="en-US"/>
        </w:rPr>
        <w:t>Types of rulings.</w:t>
      </w:r>
      <w:r w:rsidRPr="002F2A3C">
        <w:rPr>
          <w:rFonts w:ascii="Times New Roman" w:eastAsia="Times New Roman" w:hAnsi="Times New Roman" w:cs="Times New Roman"/>
          <w:sz w:val="26"/>
          <w:szCs w:val="26"/>
          <w:lang w:val="en-US"/>
        </w:rPr>
        <w:t xml:space="preserve"> The Taxpayers’ Bill of Rights provides four types of Advance Tax rulings:</w:t>
      </w:r>
    </w:p>
    <w:p w14:paraId="049FF9D7" w14:textId="32081498" w:rsidR="00506148" w:rsidRPr="00506148" w:rsidRDefault="00506148" w:rsidP="00506148">
      <w:pPr>
        <w:pStyle w:val="Paragrafoelenco"/>
        <w:numPr>
          <w:ilvl w:val="0"/>
          <w:numId w:val="25"/>
        </w:numPr>
        <w:spacing w:after="0" w:line="360" w:lineRule="auto"/>
        <w:rPr>
          <w:rFonts w:ascii="Times New Roman" w:eastAsia="Times New Roman" w:hAnsi="Times New Roman" w:cs="Times New Roman"/>
          <w:sz w:val="26"/>
          <w:szCs w:val="26"/>
          <w:lang w:val="en-US"/>
        </w:rPr>
      </w:pPr>
      <w:r w:rsidRPr="00506148">
        <w:rPr>
          <w:rFonts w:ascii="Times New Roman" w:eastAsia="Times New Roman" w:hAnsi="Times New Roman" w:cs="Times New Roman"/>
          <w:sz w:val="26"/>
          <w:szCs w:val="26"/>
          <w:lang w:val="en-US"/>
        </w:rPr>
        <w:t xml:space="preserve">ordinary rulings: where there </w:t>
      </w:r>
      <w:r w:rsidR="001B3112">
        <w:rPr>
          <w:rFonts w:ascii="Times New Roman" w:eastAsia="Times New Roman" w:hAnsi="Times New Roman" w:cs="Times New Roman"/>
          <w:sz w:val="26"/>
          <w:szCs w:val="26"/>
          <w:lang w:val="en-US"/>
        </w:rPr>
        <w:t>is</w:t>
      </w:r>
      <w:r w:rsidRPr="00506148">
        <w:rPr>
          <w:rFonts w:ascii="Times New Roman" w:eastAsia="Times New Roman" w:hAnsi="Times New Roman" w:cs="Times New Roman"/>
          <w:sz w:val="26"/>
          <w:szCs w:val="26"/>
          <w:lang w:val="en-US"/>
        </w:rPr>
        <w:t xml:space="preserve"> objective uncertainty as to the correct interpretation</w:t>
      </w:r>
      <w:r w:rsidRPr="00F21245">
        <w:rPr>
          <w:rFonts w:ascii="Times New Roman" w:eastAsia="Times New Roman" w:hAnsi="Times New Roman" w:cs="Times New Roman"/>
          <w:sz w:val="26"/>
          <w:szCs w:val="26"/>
          <w:lang w:val="en-US"/>
        </w:rPr>
        <w:t xml:space="preserve"> of a provision (</w:t>
      </w:r>
      <w:r w:rsidR="00471020">
        <w:rPr>
          <w:rFonts w:ascii="Times New Roman" w:eastAsia="Times New Roman" w:hAnsi="Times New Roman" w:cs="Times New Roman"/>
          <w:sz w:val="26"/>
          <w:szCs w:val="26"/>
          <w:lang w:val="en-US"/>
        </w:rPr>
        <w:t xml:space="preserve">i.e. </w:t>
      </w:r>
      <w:r w:rsidRPr="00F21245">
        <w:rPr>
          <w:rFonts w:ascii="Times New Roman" w:eastAsia="Times New Roman" w:hAnsi="Times New Roman" w:cs="Times New Roman"/>
          <w:sz w:val="26"/>
          <w:szCs w:val="26"/>
          <w:lang w:val="en-US"/>
        </w:rPr>
        <w:t>interpretative ordinary ruling) or where the objective uncertainty is related to the legal</w:t>
      </w:r>
      <w:r>
        <w:rPr>
          <w:rFonts w:ascii="Times New Roman" w:eastAsia="Times New Roman" w:hAnsi="Times New Roman" w:cs="Times New Roman"/>
          <w:sz w:val="26"/>
          <w:szCs w:val="26"/>
          <w:lang w:val="en-US"/>
        </w:rPr>
        <w:t xml:space="preserve"> </w:t>
      </w:r>
      <w:r w:rsidRPr="00506148">
        <w:rPr>
          <w:rFonts w:ascii="Times New Roman" w:eastAsia="Times New Roman" w:hAnsi="Times New Roman" w:cs="Times New Roman"/>
          <w:sz w:val="26"/>
          <w:szCs w:val="26"/>
          <w:lang w:val="en-US"/>
        </w:rPr>
        <w:t>and fiscal qualification of a specific case (</w:t>
      </w:r>
      <w:r w:rsidR="00471020">
        <w:rPr>
          <w:rFonts w:ascii="Times New Roman" w:eastAsia="Times New Roman" w:hAnsi="Times New Roman" w:cs="Times New Roman"/>
          <w:sz w:val="26"/>
          <w:szCs w:val="26"/>
          <w:lang w:val="en-US"/>
        </w:rPr>
        <w:t xml:space="preserve">i.e. </w:t>
      </w:r>
      <w:r w:rsidRPr="00506148">
        <w:rPr>
          <w:rFonts w:ascii="Times New Roman" w:eastAsia="Times New Roman" w:hAnsi="Times New Roman" w:cs="Times New Roman"/>
          <w:sz w:val="26"/>
          <w:szCs w:val="26"/>
          <w:lang w:val="en-US"/>
        </w:rPr>
        <w:t>qualifying ordinary ruling</w:t>
      </w:r>
      <w:r w:rsidR="00947F9F">
        <w:rPr>
          <w:rFonts w:ascii="Times New Roman" w:eastAsia="Times New Roman" w:hAnsi="Times New Roman" w:cs="Times New Roman"/>
          <w:sz w:val="26"/>
          <w:szCs w:val="26"/>
          <w:lang w:val="en-US"/>
        </w:rPr>
        <w:t xml:space="preserve">). </w:t>
      </w:r>
    </w:p>
    <w:p w14:paraId="08404E01" w14:textId="77777777" w:rsidR="00506148" w:rsidRPr="00506148" w:rsidRDefault="00506148" w:rsidP="00506148">
      <w:pPr>
        <w:pStyle w:val="Paragrafoelenco"/>
        <w:numPr>
          <w:ilvl w:val="0"/>
          <w:numId w:val="25"/>
        </w:numPr>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probatory ruling:</w:t>
      </w:r>
      <w:r w:rsidRPr="00506148">
        <w:rPr>
          <w:rFonts w:ascii="Times New Roman" w:eastAsia="Times New Roman" w:hAnsi="Times New Roman" w:cs="Times New Roman"/>
          <w:sz w:val="26"/>
          <w:szCs w:val="26"/>
          <w:lang w:val="en-US"/>
        </w:rPr>
        <w:t xml:space="preserve"> where the request is related to the fulfilment of the conditions and to the assessment of the probatory elements required for the</w:t>
      </w:r>
      <w:r>
        <w:rPr>
          <w:rFonts w:ascii="Times New Roman" w:eastAsia="Times New Roman" w:hAnsi="Times New Roman" w:cs="Times New Roman"/>
          <w:sz w:val="26"/>
          <w:szCs w:val="26"/>
          <w:lang w:val="en-US"/>
        </w:rPr>
        <w:t xml:space="preserve"> </w:t>
      </w:r>
      <w:r w:rsidRPr="00506148">
        <w:rPr>
          <w:rFonts w:ascii="Times New Roman" w:eastAsia="Times New Roman" w:hAnsi="Times New Roman" w:cs="Times New Roman"/>
          <w:sz w:val="26"/>
          <w:szCs w:val="26"/>
          <w:lang w:val="en-US"/>
        </w:rPr>
        <w:t>adoption of specific tax regimes, in cases expressly provided by law;</w:t>
      </w:r>
    </w:p>
    <w:p w14:paraId="25FD25E0" w14:textId="77777777" w:rsidR="00506148" w:rsidRPr="00506148" w:rsidRDefault="00506148" w:rsidP="00506148">
      <w:pPr>
        <w:pStyle w:val="Paragrafoelenco"/>
        <w:numPr>
          <w:ilvl w:val="0"/>
          <w:numId w:val="25"/>
        </w:numPr>
        <w:spacing w:after="0" w:line="360" w:lineRule="auto"/>
        <w:rPr>
          <w:rFonts w:ascii="Times New Roman" w:eastAsia="Times New Roman" w:hAnsi="Times New Roman" w:cs="Times New Roman"/>
          <w:sz w:val="26"/>
          <w:szCs w:val="26"/>
          <w:lang w:val="en-US"/>
        </w:rPr>
      </w:pPr>
      <w:r w:rsidRPr="00506148">
        <w:rPr>
          <w:rFonts w:ascii="Times New Roman" w:eastAsia="Times New Roman" w:hAnsi="Times New Roman" w:cs="Times New Roman"/>
          <w:sz w:val="26"/>
          <w:szCs w:val="26"/>
          <w:lang w:val="en-US"/>
        </w:rPr>
        <w:t>anti-abuse ruling</w:t>
      </w:r>
      <w:r>
        <w:rPr>
          <w:rFonts w:ascii="Times New Roman" w:eastAsia="Times New Roman" w:hAnsi="Times New Roman" w:cs="Times New Roman"/>
          <w:sz w:val="26"/>
          <w:szCs w:val="26"/>
          <w:lang w:val="en-US"/>
        </w:rPr>
        <w:t>:</w:t>
      </w:r>
      <w:r w:rsidRPr="0050614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if</w:t>
      </w:r>
      <w:r w:rsidRPr="00506148">
        <w:rPr>
          <w:rFonts w:ascii="Times New Roman" w:eastAsia="Times New Roman" w:hAnsi="Times New Roman" w:cs="Times New Roman"/>
          <w:sz w:val="26"/>
          <w:szCs w:val="26"/>
          <w:lang w:val="en-US"/>
        </w:rPr>
        <w:t xml:space="preserve"> the </w:t>
      </w:r>
      <w:r>
        <w:rPr>
          <w:rFonts w:ascii="Times New Roman" w:eastAsia="Times New Roman" w:hAnsi="Times New Roman" w:cs="Times New Roman"/>
          <w:sz w:val="26"/>
          <w:szCs w:val="26"/>
          <w:lang w:val="en-US"/>
        </w:rPr>
        <w:t>query</w:t>
      </w:r>
      <w:r w:rsidRPr="00506148">
        <w:rPr>
          <w:rFonts w:ascii="Times New Roman" w:eastAsia="Times New Roman" w:hAnsi="Times New Roman" w:cs="Times New Roman"/>
          <w:sz w:val="26"/>
          <w:szCs w:val="26"/>
          <w:lang w:val="en-US"/>
        </w:rPr>
        <w:t xml:space="preserve"> pertains to the application</w:t>
      </w:r>
      <w:r>
        <w:rPr>
          <w:rFonts w:ascii="Times New Roman" w:eastAsia="Times New Roman" w:hAnsi="Times New Roman" w:cs="Times New Roman"/>
          <w:sz w:val="26"/>
          <w:szCs w:val="26"/>
          <w:lang w:val="en-US"/>
        </w:rPr>
        <w:t xml:space="preserve"> </w:t>
      </w:r>
      <w:r w:rsidRPr="00506148">
        <w:rPr>
          <w:rFonts w:ascii="Times New Roman" w:eastAsia="Times New Roman" w:hAnsi="Times New Roman" w:cs="Times New Roman"/>
          <w:sz w:val="26"/>
          <w:szCs w:val="26"/>
          <w:lang w:val="en-US"/>
        </w:rPr>
        <w:t>of the “abuse of right” principle to a specific case</w:t>
      </w:r>
      <w:r>
        <w:rPr>
          <w:rFonts w:ascii="Times New Roman" w:eastAsia="Times New Roman" w:hAnsi="Times New Roman" w:cs="Times New Roman"/>
          <w:sz w:val="26"/>
          <w:szCs w:val="26"/>
          <w:lang w:val="en-US"/>
        </w:rPr>
        <w:t xml:space="preserve">, aiming at verifying </w:t>
      </w:r>
      <w:r w:rsidR="00947F9F">
        <w:rPr>
          <w:rFonts w:ascii="Times New Roman" w:eastAsia="Times New Roman" w:hAnsi="Times New Roman" w:cs="Times New Roman"/>
          <w:sz w:val="26"/>
          <w:szCs w:val="26"/>
          <w:lang w:val="en-US"/>
        </w:rPr>
        <w:t>if a transaction may be considered as abusive</w:t>
      </w:r>
      <w:r w:rsidRPr="00506148">
        <w:rPr>
          <w:rFonts w:ascii="Times New Roman" w:eastAsia="Times New Roman" w:hAnsi="Times New Roman" w:cs="Times New Roman"/>
          <w:sz w:val="26"/>
          <w:szCs w:val="26"/>
          <w:lang w:val="en-US"/>
        </w:rPr>
        <w:t>;</w:t>
      </w:r>
    </w:p>
    <w:p w14:paraId="7BA2CDF9" w14:textId="57E5D6DC" w:rsidR="00506148" w:rsidRDefault="00506148" w:rsidP="00506148">
      <w:pPr>
        <w:pStyle w:val="Paragrafoelenco"/>
        <w:numPr>
          <w:ilvl w:val="0"/>
          <w:numId w:val="25"/>
        </w:numPr>
        <w:spacing w:after="0" w:line="360" w:lineRule="auto"/>
        <w:rPr>
          <w:rFonts w:ascii="Times New Roman" w:eastAsia="Times New Roman" w:hAnsi="Times New Roman" w:cs="Times New Roman"/>
          <w:sz w:val="26"/>
          <w:szCs w:val="26"/>
          <w:lang w:val="en-US"/>
        </w:rPr>
      </w:pPr>
      <w:r w:rsidRPr="00506148">
        <w:rPr>
          <w:rFonts w:ascii="Times New Roman" w:eastAsia="Times New Roman" w:hAnsi="Times New Roman" w:cs="Times New Roman"/>
          <w:sz w:val="26"/>
          <w:szCs w:val="26"/>
          <w:lang w:val="en-US"/>
        </w:rPr>
        <w:t>anti-avoidance ruling, if the request is aimed at the disapplication of tax</w:t>
      </w:r>
      <w:r w:rsidRPr="00F21245">
        <w:rPr>
          <w:rFonts w:ascii="Times New Roman" w:eastAsia="Times New Roman" w:hAnsi="Times New Roman" w:cs="Times New Roman"/>
          <w:sz w:val="26"/>
          <w:szCs w:val="26"/>
          <w:lang w:val="en-US"/>
        </w:rPr>
        <w:t xml:space="preserve"> provisions limiting (in order to fight </w:t>
      </w:r>
      <w:r w:rsidR="00292477">
        <w:rPr>
          <w:rFonts w:ascii="Times New Roman" w:eastAsia="Times New Roman" w:hAnsi="Times New Roman" w:cs="Times New Roman"/>
          <w:sz w:val="26"/>
          <w:szCs w:val="26"/>
          <w:lang w:val="en-US"/>
        </w:rPr>
        <w:t>avoidance</w:t>
      </w:r>
      <w:r w:rsidRPr="00F21245">
        <w:rPr>
          <w:rFonts w:ascii="Times New Roman" w:eastAsia="Times New Roman" w:hAnsi="Times New Roman" w:cs="Times New Roman"/>
          <w:sz w:val="26"/>
          <w:szCs w:val="26"/>
          <w:lang w:val="en-US"/>
        </w:rPr>
        <w:t>) deductions, tax benefits, tax</w:t>
      </w:r>
      <w:r w:rsidRPr="00506148">
        <w:rPr>
          <w:rFonts w:ascii="Times New Roman" w:eastAsia="Times New Roman" w:hAnsi="Times New Roman" w:cs="Times New Roman"/>
          <w:sz w:val="26"/>
          <w:szCs w:val="26"/>
          <w:lang w:val="en-US"/>
        </w:rPr>
        <w:t xml:space="preserve"> credits or other subje</w:t>
      </w:r>
      <w:r>
        <w:rPr>
          <w:rFonts w:ascii="Times New Roman" w:eastAsia="Times New Roman" w:hAnsi="Times New Roman" w:cs="Times New Roman"/>
          <w:sz w:val="26"/>
          <w:szCs w:val="26"/>
          <w:lang w:val="en-US"/>
        </w:rPr>
        <w:t>ctive positions of the taxpayer; t</w:t>
      </w:r>
      <w:r w:rsidRPr="00506148">
        <w:rPr>
          <w:rFonts w:ascii="Times New Roman" w:eastAsia="Times New Roman" w:hAnsi="Times New Roman" w:cs="Times New Roman"/>
          <w:sz w:val="26"/>
          <w:szCs w:val="26"/>
          <w:lang w:val="en-US"/>
        </w:rPr>
        <w:t>his ruling constitutes</w:t>
      </w:r>
      <w:r>
        <w:rPr>
          <w:rFonts w:ascii="Times New Roman" w:eastAsia="Times New Roman" w:hAnsi="Times New Roman" w:cs="Times New Roman"/>
          <w:sz w:val="26"/>
          <w:szCs w:val="26"/>
          <w:lang w:val="en-US"/>
        </w:rPr>
        <w:t xml:space="preserve"> </w:t>
      </w:r>
      <w:r w:rsidRPr="00506148">
        <w:rPr>
          <w:rFonts w:ascii="Times New Roman" w:eastAsia="Times New Roman" w:hAnsi="Times New Roman" w:cs="Times New Roman"/>
          <w:sz w:val="26"/>
          <w:szCs w:val="26"/>
          <w:lang w:val="en-US"/>
        </w:rPr>
        <w:t>the only case in which the taxpayer is obliged to refer to the Tax Authority.</w:t>
      </w:r>
    </w:p>
    <w:p w14:paraId="2FC4D43A" w14:textId="77777777" w:rsidR="00A93418" w:rsidRDefault="00A93418" w:rsidP="00A93418">
      <w:pPr>
        <w:pStyle w:val="Paragrafoelenco"/>
        <w:spacing w:after="0" w:line="360" w:lineRule="auto"/>
        <w:ind w:left="1636"/>
        <w:rPr>
          <w:rFonts w:ascii="Times New Roman" w:eastAsia="Times New Roman" w:hAnsi="Times New Roman" w:cs="Times New Roman"/>
          <w:sz w:val="26"/>
          <w:szCs w:val="26"/>
          <w:lang w:val="en-US"/>
        </w:rPr>
      </w:pPr>
    </w:p>
    <w:p w14:paraId="2D0E77D5" w14:textId="77777777" w:rsidR="00246206" w:rsidRPr="00ED14F5" w:rsidRDefault="006A0D57" w:rsidP="00ED14F5">
      <w:pPr>
        <w:pStyle w:val="Paragrafoelenco"/>
        <w:numPr>
          <w:ilvl w:val="0"/>
          <w:numId w:val="16"/>
        </w:numPr>
        <w:spacing w:after="0" w:line="360" w:lineRule="auto"/>
        <w:rPr>
          <w:rFonts w:ascii="Times New Roman" w:eastAsia="Times New Roman" w:hAnsi="Times New Roman" w:cs="Times New Roman"/>
          <w:sz w:val="26"/>
          <w:szCs w:val="26"/>
          <w:lang w:val="en-US"/>
        </w:rPr>
      </w:pPr>
      <w:r w:rsidRPr="00ED14F5">
        <w:rPr>
          <w:rFonts w:ascii="Times New Roman" w:hAnsi="Times New Roman" w:cs="Times New Roman"/>
          <w:b/>
          <w:bCs/>
          <w:i/>
          <w:iCs/>
          <w:sz w:val="26"/>
          <w:szCs w:val="26"/>
          <w:lang w:val="en-US"/>
        </w:rPr>
        <w:t xml:space="preserve">Advance </w:t>
      </w:r>
      <w:r w:rsidR="00E91498" w:rsidRPr="00ED14F5">
        <w:rPr>
          <w:rFonts w:ascii="Times New Roman" w:hAnsi="Times New Roman" w:cs="Times New Roman"/>
          <w:b/>
          <w:bCs/>
          <w:i/>
          <w:iCs/>
          <w:sz w:val="26"/>
          <w:szCs w:val="26"/>
          <w:lang w:val="en-US"/>
        </w:rPr>
        <w:t xml:space="preserve">Tax Ruling </w:t>
      </w:r>
      <w:r w:rsidRPr="00ED14F5">
        <w:rPr>
          <w:rFonts w:ascii="Times New Roman" w:hAnsi="Times New Roman" w:cs="Times New Roman"/>
          <w:b/>
          <w:bCs/>
          <w:i/>
          <w:iCs/>
          <w:sz w:val="26"/>
          <w:szCs w:val="26"/>
          <w:lang w:val="en-US"/>
        </w:rPr>
        <w:t>on new investments</w:t>
      </w:r>
      <w:r w:rsidRPr="00ED14F5">
        <w:rPr>
          <w:rFonts w:ascii="Times New Roman" w:hAnsi="Times New Roman" w:cs="Times New Roman"/>
          <w:b/>
          <w:bCs/>
          <w:sz w:val="26"/>
          <w:szCs w:val="26"/>
          <w:lang w:val="en-US"/>
        </w:rPr>
        <w:t>.</w:t>
      </w:r>
      <w:r w:rsidRPr="00ED14F5">
        <w:rPr>
          <w:rFonts w:ascii="Times New Roman" w:hAnsi="Times New Roman" w:cs="Times New Roman"/>
          <w:sz w:val="26"/>
          <w:szCs w:val="26"/>
          <w:lang w:val="en-US"/>
        </w:rPr>
        <w:t xml:space="preserve"> </w:t>
      </w:r>
    </w:p>
    <w:p w14:paraId="1F17FA27" w14:textId="27709EAC" w:rsidR="00246206" w:rsidRPr="00486C8B" w:rsidRDefault="006A0D57">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Aim</w:t>
      </w:r>
      <w:r w:rsidRPr="00486C8B">
        <w:rPr>
          <w:rFonts w:ascii="Times New Roman" w:hAnsi="Times New Roman" w:cs="Times New Roman"/>
          <w:sz w:val="26"/>
          <w:szCs w:val="26"/>
          <w:lang w:val="en-US"/>
        </w:rPr>
        <w:t xml:space="preserve">. The </w:t>
      </w:r>
      <w:r w:rsidR="00E91498" w:rsidRPr="00486C8B">
        <w:rPr>
          <w:rFonts w:ascii="Times New Roman" w:hAnsi="Times New Roman" w:cs="Times New Roman"/>
          <w:sz w:val="26"/>
          <w:szCs w:val="26"/>
          <w:lang w:val="en-US"/>
        </w:rPr>
        <w:t>Advance T</w:t>
      </w:r>
      <w:r w:rsidR="001C5EB4" w:rsidRPr="00486C8B">
        <w:rPr>
          <w:rFonts w:ascii="Times New Roman" w:hAnsi="Times New Roman" w:cs="Times New Roman"/>
          <w:sz w:val="26"/>
          <w:szCs w:val="26"/>
          <w:lang w:val="en-US"/>
        </w:rPr>
        <w:t xml:space="preserve">ax </w:t>
      </w:r>
      <w:r w:rsidR="00E91498" w:rsidRPr="00486C8B">
        <w:rPr>
          <w:rFonts w:ascii="Times New Roman" w:hAnsi="Times New Roman" w:cs="Times New Roman"/>
          <w:sz w:val="26"/>
          <w:szCs w:val="26"/>
          <w:lang w:val="en-US"/>
        </w:rPr>
        <w:t xml:space="preserve">Ruling </w:t>
      </w:r>
      <w:r w:rsidRPr="00486C8B">
        <w:rPr>
          <w:rFonts w:ascii="Times New Roman" w:hAnsi="Times New Roman" w:cs="Times New Roman"/>
          <w:sz w:val="26"/>
          <w:szCs w:val="26"/>
          <w:lang w:val="en-US"/>
        </w:rPr>
        <w:t>on new investments pursues the main aim to give more certainty to economic operators in the determination of fiscal burdens connected to</w:t>
      </w:r>
      <w:r w:rsidR="002E302D" w:rsidRPr="00486C8B">
        <w:rPr>
          <w:rFonts w:ascii="Times New Roman" w:hAnsi="Times New Roman" w:cs="Times New Roman"/>
          <w:sz w:val="26"/>
          <w:szCs w:val="26"/>
          <w:lang w:val="en-US"/>
        </w:rPr>
        <w:t xml:space="preserve"> the implementation in Italy of</w:t>
      </w:r>
      <w:r w:rsidRPr="00486C8B">
        <w:rPr>
          <w:rFonts w:ascii="Times New Roman" w:hAnsi="Times New Roman" w:cs="Times New Roman"/>
          <w:sz w:val="26"/>
          <w:szCs w:val="26"/>
          <w:lang w:val="en-US"/>
        </w:rPr>
        <w:t xml:space="preserve"> relevant and qualified</w:t>
      </w:r>
      <w:r w:rsidR="002E302D" w:rsidRPr="00486C8B">
        <w:rPr>
          <w:rFonts w:ascii="Times New Roman" w:hAnsi="Times New Roman" w:cs="Times New Roman"/>
          <w:sz w:val="26"/>
          <w:szCs w:val="26"/>
          <w:lang w:val="en-US"/>
        </w:rPr>
        <w:t xml:space="preserve"> business plans</w:t>
      </w:r>
      <w:r w:rsidRPr="00486C8B">
        <w:rPr>
          <w:rFonts w:ascii="Times New Roman" w:hAnsi="Times New Roman" w:cs="Times New Roman"/>
          <w:sz w:val="26"/>
          <w:szCs w:val="26"/>
          <w:lang w:val="en-US"/>
        </w:rPr>
        <w:t xml:space="preserve">. </w:t>
      </w:r>
    </w:p>
    <w:p w14:paraId="75E4607D" w14:textId="6629FF38" w:rsidR="00C637EE" w:rsidRPr="00486C8B" w:rsidRDefault="00C637EE" w:rsidP="00C637EE">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lastRenderedPageBreak/>
        <w:t>Benefits.</w:t>
      </w:r>
      <w:r w:rsidRPr="00486C8B">
        <w:rPr>
          <w:rFonts w:ascii="Times New Roman" w:hAnsi="Times New Roman" w:cs="Times New Roman"/>
          <w:sz w:val="26"/>
          <w:szCs w:val="26"/>
          <w:lang w:val="en-US"/>
        </w:rPr>
        <w:t xml:space="preserve"> By presenting a single query, investors can obtain from the Italian Revenue Agency an opinion concerning any kind of tax issues (even cumulatively) with respect to a specific investment plan (e.g., tax treatment of leveraged buy-out transactions and application of international treaty rules to incomes deriving from the investment</w:t>
      </w:r>
      <w:r w:rsidR="00AB47F6">
        <w:rPr>
          <w:rFonts w:ascii="Times New Roman" w:hAnsi="Times New Roman" w:cs="Times New Roman"/>
          <w:sz w:val="26"/>
          <w:szCs w:val="26"/>
          <w:lang w:val="en-US"/>
        </w:rPr>
        <w:t xml:space="preserve"> in Italy</w:t>
      </w:r>
      <w:r w:rsidRPr="00486C8B">
        <w:rPr>
          <w:rFonts w:ascii="Times New Roman" w:hAnsi="Times New Roman" w:cs="Times New Roman"/>
          <w:sz w:val="26"/>
          <w:szCs w:val="26"/>
          <w:lang w:val="en-US"/>
        </w:rPr>
        <w:t>, such as dividends, interests, royalties or others).</w:t>
      </w:r>
    </w:p>
    <w:p w14:paraId="55568FB3" w14:textId="77777777" w:rsidR="001B2CEA" w:rsidRPr="00486C8B" w:rsidRDefault="001B2CEA">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The Advance Tax Ruling on new investments is characterized by a special “vis actractiva”, which entails that the applicant who has already submitted a first ruling on new investments, is entitled to present, in a second time, further questions concerning other operations related to the whole investment plan, regardless of their specific amount. </w:t>
      </w:r>
    </w:p>
    <w:p w14:paraId="74D39C44" w14:textId="1E2FB3C5" w:rsidR="00C637EE" w:rsidRPr="00486C8B" w:rsidRDefault="001B2CEA">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The Italian Revenue Agency cannot amend the reply to the application. The opinion shall be binding for the mentioned Agency with respect to the investment plan as described by the applicant and valid until the conditions of law and fact, on the basis of which it was given, remain unchanged. Regarding issues covered by the reply, any administrative act (even if containing impositions or penalties) emitted by </w:t>
      </w:r>
      <w:r w:rsidR="00471020">
        <w:rPr>
          <w:rFonts w:ascii="Times New Roman" w:hAnsi="Times New Roman" w:cs="Times New Roman"/>
          <w:sz w:val="26"/>
          <w:szCs w:val="26"/>
          <w:lang w:val="en-US"/>
        </w:rPr>
        <w:t>any</w:t>
      </w:r>
      <w:r w:rsidR="00471020"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Tax Authorities in violation of the same reply shall be null and void. The exercise of the ordinary powers of supervision remains for the competent Tax Authority structures (other than Revenue Agency) only if regarding issues different from those covered by the reply.</w:t>
      </w:r>
    </w:p>
    <w:p w14:paraId="751EDF86" w14:textId="77777777" w:rsidR="00246206" w:rsidRPr="00486C8B" w:rsidRDefault="006A0D57">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Qualifying persons</w:t>
      </w:r>
      <w:r w:rsidRPr="00486C8B">
        <w:rPr>
          <w:rFonts w:ascii="Times New Roman" w:hAnsi="Times New Roman" w:cs="Times New Roman"/>
          <w:sz w:val="26"/>
          <w:szCs w:val="26"/>
          <w:lang w:val="en-US"/>
        </w:rPr>
        <w:t>. Persons eligible to file the ruling are:</w:t>
      </w:r>
    </w:p>
    <w:p w14:paraId="3C721D94" w14:textId="77777777" w:rsidR="00246206" w:rsidRPr="00486C8B" w:rsidRDefault="006A0D57" w:rsidP="008F27F2">
      <w:pPr>
        <w:numPr>
          <w:ilvl w:val="0"/>
          <w:numId w:val="23"/>
        </w:numPr>
        <w:tabs>
          <w:tab w:val="clear" w:pos="2124"/>
          <w:tab w:val="num" w:pos="1418"/>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corporations and other resident entities running business activities, even if controlled by non-resident entities;</w:t>
      </w:r>
    </w:p>
    <w:p w14:paraId="00E58106" w14:textId="77777777" w:rsidR="00246206" w:rsidRPr="00486C8B" w:rsidRDefault="006A0D57" w:rsidP="008F27F2">
      <w:pPr>
        <w:numPr>
          <w:ilvl w:val="0"/>
          <w:numId w:val="23"/>
        </w:numPr>
        <w:tabs>
          <w:tab w:val="clear" w:pos="2124"/>
          <w:tab w:val="num" w:pos="1560"/>
        </w:tabs>
        <w:spacing w:after="0" w:line="360" w:lineRule="auto"/>
        <w:ind w:left="1134" w:hanging="11"/>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non-resident companies and institutions of all kinds, regardless of whether they have a permanent establishment in the State or not;</w:t>
      </w:r>
    </w:p>
    <w:p w14:paraId="7F9376E0" w14:textId="77777777" w:rsidR="00246206" w:rsidRPr="00486C8B" w:rsidRDefault="006A0D57" w:rsidP="008F27F2">
      <w:pPr>
        <w:numPr>
          <w:ilvl w:val="0"/>
          <w:numId w:val="23"/>
        </w:numPr>
        <w:tabs>
          <w:tab w:val="clear" w:pos="2124"/>
          <w:tab w:val="num" w:pos="1560"/>
        </w:tabs>
        <w:spacing w:after="0" w:line="360" w:lineRule="auto"/>
        <w:ind w:left="1134" w:firstLine="0"/>
        <w:rPr>
          <w:rFonts w:ascii="Times New Roman" w:eastAsia="Times New Roman" w:hAnsi="Times New Roman" w:cs="Times New Roman"/>
          <w:sz w:val="26"/>
          <w:szCs w:val="26"/>
          <w:lang w:val="en-US"/>
        </w:rPr>
      </w:pPr>
      <w:r w:rsidRPr="00486C8B">
        <w:rPr>
          <w:rFonts w:ascii="Times New Roman" w:hAnsi="Times New Roman" w:cs="Times New Roman"/>
          <w:sz w:val="26"/>
          <w:szCs w:val="26"/>
          <w:lang w:val="en-US"/>
        </w:rPr>
        <w:t xml:space="preserve">individuals or persons not running business activities, as long as they are looking to carry out a business activity in Italy or to participate in the equity of a pre-existing enterprise. For instance, </w:t>
      </w:r>
      <w:r w:rsidRPr="00486C8B">
        <w:rPr>
          <w:rFonts w:ascii="Times New Roman" w:hAnsi="Times New Roman" w:cs="Times New Roman"/>
          <w:sz w:val="26"/>
          <w:szCs w:val="26"/>
          <w:lang w:val="en-US"/>
        </w:rPr>
        <w:lastRenderedPageBreak/>
        <w:t xml:space="preserve">banking foundations may submit the application for the </w:t>
      </w:r>
      <w:r w:rsidR="004456AE" w:rsidRPr="00486C8B">
        <w:rPr>
          <w:rFonts w:ascii="Times New Roman" w:hAnsi="Times New Roman" w:cs="Times New Roman"/>
          <w:sz w:val="26"/>
          <w:szCs w:val="26"/>
          <w:lang w:val="en-US"/>
        </w:rPr>
        <w:t>Advance T</w:t>
      </w:r>
      <w:r w:rsidR="001C5EB4" w:rsidRPr="00486C8B">
        <w:rPr>
          <w:rFonts w:ascii="Times New Roman" w:hAnsi="Times New Roman" w:cs="Times New Roman"/>
          <w:sz w:val="26"/>
          <w:szCs w:val="26"/>
          <w:lang w:val="en-US"/>
        </w:rPr>
        <w:t xml:space="preserve">ax </w:t>
      </w:r>
      <w:r w:rsidR="004456AE" w:rsidRPr="00486C8B">
        <w:rPr>
          <w:rFonts w:ascii="Times New Roman" w:hAnsi="Times New Roman" w:cs="Times New Roman"/>
          <w:sz w:val="26"/>
          <w:szCs w:val="26"/>
          <w:lang w:val="en-US"/>
        </w:rPr>
        <w:t xml:space="preserve">Ruling </w:t>
      </w:r>
      <w:r w:rsidRPr="00486C8B">
        <w:rPr>
          <w:rFonts w:ascii="Times New Roman" w:hAnsi="Times New Roman" w:cs="Times New Roman"/>
          <w:sz w:val="26"/>
          <w:szCs w:val="26"/>
          <w:lang w:val="en-US"/>
        </w:rPr>
        <w:t xml:space="preserve">on new investments, as well as collective investment undertakings (CIUs) – both considered in Italy as non-commercial entities. </w:t>
      </w:r>
    </w:p>
    <w:p w14:paraId="57447C51" w14:textId="77777777" w:rsidR="00246206" w:rsidRPr="00486C8B" w:rsidRDefault="006A0D57">
      <w:pPr>
        <w:spacing w:after="0" w:line="360" w:lineRule="auto"/>
        <w:ind w:left="567" w:firstLine="414"/>
        <w:rPr>
          <w:rFonts w:ascii="Times New Roman" w:hAnsi="Times New Roman" w:cs="Times New Roman"/>
          <w:sz w:val="26"/>
          <w:szCs w:val="26"/>
          <w:lang w:val="en-US"/>
        </w:rPr>
      </w:pPr>
      <w:r w:rsidRPr="00486C8B">
        <w:rPr>
          <w:rFonts w:ascii="Times New Roman" w:hAnsi="Times New Roman" w:cs="Times New Roman"/>
          <w:b/>
          <w:bCs/>
          <w:i/>
          <w:iCs/>
          <w:sz w:val="26"/>
          <w:szCs w:val="26"/>
          <w:lang w:val="en-US"/>
        </w:rPr>
        <w:t xml:space="preserve">Qualifying investments. </w:t>
      </w:r>
      <w:r w:rsidRPr="00486C8B">
        <w:rPr>
          <w:rFonts w:ascii="Times New Roman" w:hAnsi="Times New Roman" w:cs="Times New Roman"/>
          <w:sz w:val="26"/>
          <w:szCs w:val="26"/>
          <w:lang w:val="en-US"/>
        </w:rPr>
        <w:t>The procedure enables investors going to realize relevant investments (at least €30 million) within the Italian territory, with significant and long-lasting impacts on employment levels (increase or maintenance).</w:t>
      </w:r>
    </w:p>
    <w:p w14:paraId="79620810" w14:textId="77777777" w:rsidR="00246206" w:rsidRPr="00486C8B" w:rsidRDefault="00246206">
      <w:pPr>
        <w:spacing w:after="0" w:line="360" w:lineRule="auto"/>
        <w:ind w:left="567" w:firstLine="414"/>
        <w:rPr>
          <w:rFonts w:ascii="Times New Roman" w:eastAsia="Times New Roman" w:hAnsi="Times New Roman" w:cs="Times New Roman"/>
          <w:sz w:val="26"/>
          <w:szCs w:val="26"/>
          <w:lang w:val="en-US"/>
        </w:rPr>
      </w:pPr>
    </w:p>
    <w:p w14:paraId="40DC4972" w14:textId="77777777" w:rsidR="00246206" w:rsidRPr="00486C8B" w:rsidRDefault="006A0D57">
      <w:pPr>
        <w:spacing w:after="0" w:line="360" w:lineRule="auto"/>
        <w:ind w:left="567" w:firstLine="414"/>
        <w:rPr>
          <w:rFonts w:ascii="Times New Roman" w:hAnsi="Times New Roman" w:cs="Times New Roman"/>
          <w:b/>
          <w:bCs/>
          <w:i/>
          <w:iCs/>
          <w:sz w:val="26"/>
          <w:szCs w:val="26"/>
          <w:lang w:val="en-US"/>
        </w:rPr>
      </w:pPr>
      <w:r w:rsidRPr="00486C8B">
        <w:rPr>
          <w:rFonts w:ascii="Times New Roman" w:hAnsi="Times New Roman" w:cs="Times New Roman"/>
          <w:b/>
          <w:bCs/>
          <w:i/>
          <w:iCs/>
          <w:sz w:val="26"/>
          <w:szCs w:val="26"/>
          <w:lang w:val="en-US"/>
        </w:rPr>
        <w:t xml:space="preserve">Conclusion </w:t>
      </w:r>
    </w:p>
    <w:p w14:paraId="39AAE83C" w14:textId="7AD2D696" w:rsidR="00471020" w:rsidRDefault="00471020">
      <w:pPr>
        <w:spacing w:after="0" w:line="360" w:lineRule="auto"/>
        <w:ind w:left="360" w:firstLine="414"/>
        <w:rPr>
          <w:rFonts w:ascii="Times New Roman" w:hAnsi="Times New Roman" w:cs="Times New Roman"/>
          <w:sz w:val="26"/>
          <w:szCs w:val="26"/>
          <w:lang w:val="en-US"/>
        </w:rPr>
      </w:pPr>
      <w:r>
        <w:rPr>
          <w:rFonts w:ascii="Times New Roman" w:hAnsi="Times New Roman" w:cs="Times New Roman"/>
          <w:sz w:val="26"/>
          <w:szCs w:val="26"/>
          <w:lang w:val="en-US"/>
        </w:rPr>
        <w:t>Based on</w:t>
      </w:r>
      <w:r w:rsidR="006A0D57" w:rsidRPr="00486C8B">
        <w:rPr>
          <w:rFonts w:ascii="Times New Roman" w:hAnsi="Times New Roman" w:cs="Times New Roman"/>
          <w:sz w:val="26"/>
          <w:szCs w:val="26"/>
          <w:lang w:val="en-US"/>
        </w:rPr>
        <w:t xml:space="preserve"> above mentioned </w:t>
      </w:r>
      <w:r w:rsidR="00292477">
        <w:rPr>
          <w:rFonts w:ascii="Times New Roman" w:hAnsi="Times New Roman" w:cs="Times New Roman"/>
          <w:sz w:val="26"/>
          <w:szCs w:val="26"/>
          <w:lang w:val="en-US"/>
        </w:rPr>
        <w:t>tax opportunities</w:t>
      </w:r>
      <w:r w:rsidR="006A0D57" w:rsidRPr="00486C8B">
        <w:rPr>
          <w:rFonts w:ascii="Times New Roman" w:hAnsi="Times New Roman" w:cs="Times New Roman"/>
          <w:sz w:val="26"/>
          <w:szCs w:val="26"/>
          <w:lang w:val="en-US"/>
        </w:rPr>
        <w:t>, Italy has launched a new d</w:t>
      </w:r>
      <w:r w:rsidR="008C5A04" w:rsidRPr="00486C8B">
        <w:rPr>
          <w:rFonts w:ascii="Times New Roman" w:hAnsi="Times New Roman" w:cs="Times New Roman"/>
          <w:sz w:val="26"/>
          <w:szCs w:val="26"/>
          <w:lang w:val="en-US"/>
        </w:rPr>
        <w:t>e</w:t>
      </w:r>
      <w:r w:rsidR="006A0D57" w:rsidRPr="00486C8B">
        <w:rPr>
          <w:rFonts w:ascii="Times New Roman" w:hAnsi="Times New Roman" w:cs="Times New Roman"/>
          <w:sz w:val="26"/>
          <w:szCs w:val="26"/>
          <w:lang w:val="en-US"/>
        </w:rPr>
        <w:t>al of the relationship between Revenue Agency and taxpayers, based on dialogue and cooperation, and aimed at reducing tax uncertainty in planning investments in Italy</w:t>
      </w:r>
      <w:r w:rsidR="00292477">
        <w:rPr>
          <w:rFonts w:ascii="Times New Roman" w:hAnsi="Times New Roman" w:cs="Times New Roman"/>
          <w:sz w:val="26"/>
          <w:szCs w:val="26"/>
          <w:lang w:val="en-US"/>
        </w:rPr>
        <w:t xml:space="preserve">. In fact, </w:t>
      </w:r>
      <w:r w:rsidR="006A0D57" w:rsidRPr="00486C8B">
        <w:rPr>
          <w:rFonts w:ascii="Times New Roman" w:hAnsi="Times New Roman" w:cs="Times New Roman"/>
          <w:sz w:val="26"/>
          <w:szCs w:val="26"/>
          <w:lang w:val="en-US"/>
        </w:rPr>
        <w:t>during FY 2016</w:t>
      </w:r>
      <w:r w:rsidR="00292477">
        <w:rPr>
          <w:rFonts w:ascii="Times New Roman" w:hAnsi="Times New Roman" w:cs="Times New Roman"/>
          <w:sz w:val="26"/>
          <w:szCs w:val="26"/>
          <w:lang w:val="en-US"/>
        </w:rPr>
        <w:t>, the Italian Revenue Agency</w:t>
      </w:r>
      <w:r>
        <w:rPr>
          <w:rFonts w:ascii="Times New Roman" w:hAnsi="Times New Roman" w:cs="Times New Roman"/>
          <w:sz w:val="26"/>
          <w:szCs w:val="26"/>
          <w:lang w:val="en-US"/>
        </w:rPr>
        <w:t>:</w:t>
      </w:r>
    </w:p>
    <w:p w14:paraId="0AFB8701" w14:textId="057F39AC" w:rsidR="00471020" w:rsidRDefault="00292477" w:rsidP="00216DC5">
      <w:pPr>
        <w:pStyle w:val="Paragrafoelenco"/>
        <w:numPr>
          <w:ilvl w:val="0"/>
          <w:numId w:val="28"/>
        </w:numPr>
        <w:spacing w:after="0" w:line="360" w:lineRule="auto"/>
        <w:rPr>
          <w:rFonts w:ascii="Times New Roman" w:hAnsi="Times New Roman" w:cs="Times New Roman"/>
          <w:sz w:val="26"/>
          <w:szCs w:val="26"/>
          <w:lang w:val="en-US"/>
        </w:rPr>
      </w:pPr>
      <w:r w:rsidRPr="00216DC5">
        <w:rPr>
          <w:rFonts w:ascii="Times New Roman" w:hAnsi="Times New Roman" w:cs="Times New Roman"/>
          <w:sz w:val="26"/>
          <w:szCs w:val="26"/>
          <w:lang w:val="en-US"/>
        </w:rPr>
        <w:t xml:space="preserve">signed </w:t>
      </w:r>
      <w:r w:rsidR="006A0D57" w:rsidRPr="00216DC5">
        <w:rPr>
          <w:rFonts w:ascii="Times New Roman" w:hAnsi="Times New Roman" w:cs="Times New Roman"/>
          <w:sz w:val="26"/>
          <w:szCs w:val="26"/>
          <w:lang w:val="en-US"/>
        </w:rPr>
        <w:t xml:space="preserve">the first </w:t>
      </w:r>
      <w:r w:rsidR="004456AE" w:rsidRPr="00216DC5">
        <w:rPr>
          <w:rFonts w:ascii="Times New Roman" w:hAnsi="Times New Roman" w:cs="Times New Roman"/>
          <w:sz w:val="26"/>
          <w:szCs w:val="26"/>
          <w:lang w:val="en-US"/>
        </w:rPr>
        <w:t xml:space="preserve">Cooperative Compliance </w:t>
      </w:r>
      <w:r w:rsidR="006A0D57" w:rsidRPr="00216DC5">
        <w:rPr>
          <w:rFonts w:ascii="Times New Roman" w:hAnsi="Times New Roman" w:cs="Times New Roman"/>
          <w:sz w:val="26"/>
          <w:szCs w:val="26"/>
          <w:lang w:val="en-US"/>
        </w:rPr>
        <w:t>agreement with a large Italian company</w:t>
      </w:r>
      <w:r w:rsidR="00471020">
        <w:rPr>
          <w:rFonts w:ascii="Times New Roman" w:hAnsi="Times New Roman" w:cs="Times New Roman"/>
          <w:sz w:val="26"/>
          <w:szCs w:val="26"/>
          <w:lang w:val="en-US"/>
        </w:rPr>
        <w:t>;</w:t>
      </w:r>
    </w:p>
    <w:p w14:paraId="607E1190" w14:textId="7CD434A7" w:rsidR="00471020" w:rsidRDefault="006A0D57" w:rsidP="00216DC5">
      <w:pPr>
        <w:pStyle w:val="Paragrafoelenco"/>
        <w:numPr>
          <w:ilvl w:val="0"/>
          <w:numId w:val="28"/>
        </w:numPr>
        <w:spacing w:after="0" w:line="360" w:lineRule="auto"/>
        <w:rPr>
          <w:rFonts w:ascii="Times New Roman" w:hAnsi="Times New Roman" w:cs="Times New Roman"/>
          <w:sz w:val="26"/>
          <w:szCs w:val="26"/>
          <w:lang w:val="en-US"/>
        </w:rPr>
      </w:pPr>
      <w:r w:rsidRPr="00216DC5">
        <w:rPr>
          <w:rFonts w:ascii="Times New Roman" w:hAnsi="Times New Roman" w:cs="Times New Roman"/>
          <w:sz w:val="26"/>
          <w:szCs w:val="26"/>
          <w:lang w:val="en-US"/>
        </w:rPr>
        <w:t>conclu</w:t>
      </w:r>
      <w:r w:rsidR="00292477" w:rsidRPr="00216DC5">
        <w:rPr>
          <w:rFonts w:ascii="Times New Roman" w:hAnsi="Times New Roman" w:cs="Times New Roman"/>
          <w:sz w:val="26"/>
          <w:szCs w:val="26"/>
          <w:lang w:val="en-US"/>
        </w:rPr>
        <w:t>ded</w:t>
      </w:r>
      <w:r w:rsidRPr="00216DC5">
        <w:rPr>
          <w:rFonts w:ascii="Times New Roman" w:hAnsi="Times New Roman" w:cs="Times New Roman"/>
          <w:sz w:val="26"/>
          <w:szCs w:val="26"/>
          <w:lang w:val="en-US"/>
        </w:rPr>
        <w:t xml:space="preserve"> several </w:t>
      </w:r>
      <w:r w:rsidR="004456AE" w:rsidRPr="00216DC5">
        <w:rPr>
          <w:rFonts w:ascii="Times New Roman" w:hAnsi="Times New Roman" w:cs="Times New Roman"/>
          <w:sz w:val="26"/>
          <w:szCs w:val="26"/>
          <w:lang w:val="en-US"/>
        </w:rPr>
        <w:t>Advance T</w:t>
      </w:r>
      <w:r w:rsidR="00E91498" w:rsidRPr="00216DC5">
        <w:rPr>
          <w:rFonts w:ascii="Times New Roman" w:hAnsi="Times New Roman" w:cs="Times New Roman"/>
          <w:sz w:val="26"/>
          <w:szCs w:val="26"/>
          <w:lang w:val="en-US"/>
        </w:rPr>
        <w:t xml:space="preserve">ax </w:t>
      </w:r>
      <w:r w:rsidR="004456AE" w:rsidRPr="00216DC5">
        <w:rPr>
          <w:rFonts w:ascii="Times New Roman" w:hAnsi="Times New Roman" w:cs="Times New Roman"/>
          <w:sz w:val="26"/>
          <w:szCs w:val="26"/>
          <w:lang w:val="en-US"/>
        </w:rPr>
        <w:t xml:space="preserve">Agreements </w:t>
      </w:r>
      <w:r w:rsidRPr="00216DC5">
        <w:rPr>
          <w:rFonts w:ascii="Times New Roman" w:hAnsi="Times New Roman" w:cs="Times New Roman"/>
          <w:sz w:val="26"/>
          <w:szCs w:val="26"/>
          <w:lang w:val="en-US"/>
        </w:rPr>
        <w:t xml:space="preserve">concerning </w:t>
      </w:r>
      <w:r w:rsidR="004456AE" w:rsidRPr="00216DC5">
        <w:rPr>
          <w:rFonts w:ascii="Times New Roman" w:hAnsi="Times New Roman" w:cs="Times New Roman"/>
          <w:sz w:val="26"/>
          <w:szCs w:val="26"/>
          <w:lang w:val="en-US"/>
        </w:rPr>
        <w:t xml:space="preserve">Patent Box </w:t>
      </w:r>
      <w:r w:rsidRPr="00216DC5">
        <w:rPr>
          <w:rFonts w:ascii="Times New Roman" w:hAnsi="Times New Roman" w:cs="Times New Roman"/>
          <w:sz w:val="26"/>
          <w:szCs w:val="26"/>
          <w:lang w:val="en-US"/>
        </w:rPr>
        <w:t>regime</w:t>
      </w:r>
      <w:r w:rsidR="00471020">
        <w:rPr>
          <w:rFonts w:ascii="Times New Roman" w:hAnsi="Times New Roman" w:cs="Times New Roman"/>
          <w:sz w:val="26"/>
          <w:szCs w:val="26"/>
          <w:lang w:val="en-US"/>
        </w:rPr>
        <w:t>;</w:t>
      </w:r>
    </w:p>
    <w:p w14:paraId="5DFA692A" w14:textId="73F4DB35" w:rsidR="00246206" w:rsidRPr="00216DC5" w:rsidRDefault="00292477" w:rsidP="00216DC5">
      <w:pPr>
        <w:pStyle w:val="Paragrafoelenco"/>
        <w:numPr>
          <w:ilvl w:val="0"/>
          <w:numId w:val="28"/>
        </w:numPr>
        <w:spacing w:after="0" w:line="360" w:lineRule="auto"/>
        <w:rPr>
          <w:rFonts w:ascii="Times New Roman" w:hAnsi="Times New Roman" w:cs="Times New Roman"/>
          <w:sz w:val="26"/>
          <w:szCs w:val="26"/>
          <w:lang w:val="en-US"/>
        </w:rPr>
      </w:pPr>
      <w:r w:rsidRPr="00216DC5">
        <w:rPr>
          <w:rFonts w:ascii="Times New Roman" w:hAnsi="Times New Roman" w:cs="Times New Roman"/>
          <w:sz w:val="26"/>
          <w:szCs w:val="26"/>
          <w:lang w:val="en-US"/>
        </w:rPr>
        <w:t>answered</w:t>
      </w:r>
      <w:r w:rsidR="006A0D57" w:rsidRPr="00216DC5">
        <w:rPr>
          <w:rFonts w:ascii="Times New Roman" w:hAnsi="Times New Roman" w:cs="Times New Roman"/>
          <w:sz w:val="26"/>
          <w:szCs w:val="26"/>
          <w:lang w:val="en-US"/>
        </w:rPr>
        <w:t xml:space="preserve"> to several </w:t>
      </w:r>
      <w:r w:rsidR="004456AE" w:rsidRPr="00216DC5">
        <w:rPr>
          <w:rFonts w:ascii="Times New Roman" w:hAnsi="Times New Roman" w:cs="Times New Roman"/>
          <w:sz w:val="26"/>
          <w:szCs w:val="26"/>
          <w:lang w:val="en-US"/>
        </w:rPr>
        <w:t xml:space="preserve">Advance Tax Rulings </w:t>
      </w:r>
      <w:r w:rsidR="006A0D57" w:rsidRPr="00216DC5">
        <w:rPr>
          <w:rFonts w:ascii="Times New Roman" w:hAnsi="Times New Roman" w:cs="Times New Roman"/>
          <w:sz w:val="26"/>
          <w:szCs w:val="26"/>
          <w:lang w:val="en-US"/>
        </w:rPr>
        <w:t>on new investments.</w:t>
      </w:r>
    </w:p>
    <w:p w14:paraId="6AA1466C" w14:textId="77777777"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The combination of tax compliance instruments and tax bonus enables foreign investors intending to promote new economic activities within the Italian </w:t>
      </w:r>
      <w:r w:rsidR="00E91498" w:rsidRPr="00486C8B">
        <w:rPr>
          <w:rFonts w:ascii="Times New Roman" w:hAnsi="Times New Roman" w:cs="Times New Roman"/>
          <w:sz w:val="26"/>
          <w:szCs w:val="26"/>
          <w:lang w:val="en-US"/>
        </w:rPr>
        <w:t xml:space="preserve">territory </w:t>
      </w:r>
      <w:r w:rsidRPr="00486C8B">
        <w:rPr>
          <w:rFonts w:ascii="Times New Roman" w:hAnsi="Times New Roman" w:cs="Times New Roman"/>
          <w:sz w:val="26"/>
          <w:szCs w:val="26"/>
          <w:lang w:val="en-US"/>
        </w:rPr>
        <w:t xml:space="preserve">to benefit of higher levels of legal certainty and lower levels of taxation. </w:t>
      </w:r>
    </w:p>
    <w:p w14:paraId="48179917" w14:textId="77777777"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As an example, a non-resident investor willing to realize investments in Italy may incorporate a new</w:t>
      </w:r>
      <w:r w:rsidR="00E91498" w:rsidRPr="00486C8B">
        <w:rPr>
          <w:rFonts w:ascii="Times New Roman" w:hAnsi="Times New Roman" w:cs="Times New Roman"/>
          <w:sz w:val="26"/>
          <w:szCs w:val="26"/>
          <w:lang w:val="en-US"/>
        </w:rPr>
        <w:t xml:space="preserve"> </w:t>
      </w:r>
      <w:r w:rsidRPr="00486C8B">
        <w:rPr>
          <w:rFonts w:ascii="Times New Roman" w:hAnsi="Times New Roman" w:cs="Times New Roman"/>
          <w:sz w:val="26"/>
          <w:szCs w:val="26"/>
          <w:lang w:val="en-US"/>
        </w:rPr>
        <w:t>co</w:t>
      </w:r>
      <w:r w:rsidR="00E91498" w:rsidRPr="00486C8B">
        <w:rPr>
          <w:rFonts w:ascii="Times New Roman" w:hAnsi="Times New Roman" w:cs="Times New Roman"/>
          <w:sz w:val="26"/>
          <w:szCs w:val="26"/>
          <w:lang w:val="en-US"/>
        </w:rPr>
        <w:t>mpany (hereinafter, newco)</w:t>
      </w:r>
      <w:r w:rsidRPr="00486C8B">
        <w:rPr>
          <w:rFonts w:ascii="Times New Roman" w:hAnsi="Times New Roman" w:cs="Times New Roman"/>
          <w:sz w:val="26"/>
          <w:szCs w:val="26"/>
          <w:lang w:val="en-US"/>
        </w:rPr>
        <w:t xml:space="preserve"> through injections of new equity, in this way </w:t>
      </w:r>
      <w:r w:rsidR="00665EC4" w:rsidRPr="00486C8B">
        <w:rPr>
          <w:rFonts w:ascii="Times New Roman" w:hAnsi="Times New Roman" w:cs="Times New Roman"/>
          <w:sz w:val="26"/>
          <w:szCs w:val="26"/>
          <w:lang w:val="en-US"/>
        </w:rPr>
        <w:t>creating the conditions to apply</w:t>
      </w:r>
      <w:r w:rsidRPr="00486C8B">
        <w:rPr>
          <w:rFonts w:ascii="Times New Roman" w:hAnsi="Times New Roman" w:cs="Times New Roman"/>
          <w:sz w:val="26"/>
          <w:szCs w:val="26"/>
          <w:lang w:val="en-US"/>
        </w:rPr>
        <w:t xml:space="preserve"> ACE regime. </w:t>
      </w:r>
    </w:p>
    <w:p w14:paraId="4C58EADC" w14:textId="77777777"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If this newco runs </w:t>
      </w:r>
      <w:r w:rsidR="00E91498" w:rsidRPr="00486C8B">
        <w:rPr>
          <w:rFonts w:ascii="Times New Roman" w:hAnsi="Times New Roman" w:cs="Times New Roman"/>
          <w:sz w:val="26"/>
          <w:szCs w:val="26"/>
          <w:lang w:val="en-US"/>
        </w:rPr>
        <w:t>a business activity or establishes an operating company in</w:t>
      </w:r>
      <w:r w:rsidRPr="00486C8B">
        <w:rPr>
          <w:rFonts w:ascii="Times New Roman" w:hAnsi="Times New Roman" w:cs="Times New Roman"/>
          <w:sz w:val="26"/>
          <w:szCs w:val="26"/>
          <w:lang w:val="en-US"/>
        </w:rPr>
        <w:t xml:space="preserve"> R&amp;D fields, it may have access to R&amp;D tax credit and if its activity generates new IP, the newco may also be entitled to benefit of Paten Box regime. </w:t>
      </w:r>
    </w:p>
    <w:p w14:paraId="0A36DC28" w14:textId="77777777"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lastRenderedPageBreak/>
        <w:t>In order to clarify the tax treatment of the whole operation, a</w:t>
      </w:r>
      <w:r w:rsidR="009A1D85" w:rsidRPr="00486C8B">
        <w:rPr>
          <w:rFonts w:ascii="Times New Roman" w:hAnsi="Times New Roman" w:cs="Times New Roman"/>
          <w:sz w:val="26"/>
          <w:szCs w:val="26"/>
          <w:lang w:val="en-US"/>
        </w:rPr>
        <w:t>n</w:t>
      </w:r>
      <w:r w:rsidRPr="00486C8B">
        <w:rPr>
          <w:rFonts w:ascii="Times New Roman" w:hAnsi="Times New Roman" w:cs="Times New Roman"/>
          <w:sz w:val="26"/>
          <w:szCs w:val="26"/>
          <w:lang w:val="en-US"/>
        </w:rPr>
        <w:t xml:space="preserve"> </w:t>
      </w:r>
      <w:r w:rsidR="004456AE" w:rsidRPr="00486C8B">
        <w:rPr>
          <w:rFonts w:ascii="Times New Roman" w:hAnsi="Times New Roman" w:cs="Times New Roman"/>
          <w:sz w:val="26"/>
          <w:szCs w:val="26"/>
          <w:lang w:val="en-US"/>
        </w:rPr>
        <w:t xml:space="preserve">Advance Tax Ruling </w:t>
      </w:r>
      <w:r w:rsidRPr="00486C8B">
        <w:rPr>
          <w:rFonts w:ascii="Times New Roman" w:hAnsi="Times New Roman" w:cs="Times New Roman"/>
          <w:sz w:val="26"/>
          <w:szCs w:val="26"/>
          <w:lang w:val="en-US"/>
        </w:rPr>
        <w:t xml:space="preserve">on new investments may be submitted. </w:t>
      </w:r>
    </w:p>
    <w:p w14:paraId="75A8A306" w14:textId="77777777"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If the entities involved in the investment are intending to grant execution to the opinion of the Italian Revenue Agency in response to the </w:t>
      </w:r>
      <w:r w:rsidR="004456AE" w:rsidRPr="00486C8B">
        <w:rPr>
          <w:rFonts w:ascii="Times New Roman" w:hAnsi="Times New Roman" w:cs="Times New Roman"/>
          <w:sz w:val="26"/>
          <w:szCs w:val="26"/>
          <w:lang w:val="en-US"/>
        </w:rPr>
        <w:t>Advance T</w:t>
      </w:r>
      <w:r w:rsidR="00E91498" w:rsidRPr="00486C8B">
        <w:rPr>
          <w:rFonts w:ascii="Times New Roman" w:hAnsi="Times New Roman" w:cs="Times New Roman"/>
          <w:sz w:val="26"/>
          <w:szCs w:val="26"/>
          <w:lang w:val="en-US"/>
        </w:rPr>
        <w:t>ax</w:t>
      </w:r>
      <w:r w:rsidRPr="00486C8B">
        <w:rPr>
          <w:rFonts w:ascii="Times New Roman" w:hAnsi="Times New Roman" w:cs="Times New Roman"/>
          <w:sz w:val="26"/>
          <w:szCs w:val="26"/>
          <w:lang w:val="en-US"/>
        </w:rPr>
        <w:t xml:space="preserve"> </w:t>
      </w:r>
      <w:r w:rsidR="004456AE" w:rsidRPr="00486C8B">
        <w:rPr>
          <w:rFonts w:ascii="Times New Roman" w:hAnsi="Times New Roman" w:cs="Times New Roman"/>
          <w:sz w:val="26"/>
          <w:szCs w:val="26"/>
          <w:lang w:val="en-US"/>
        </w:rPr>
        <w:t xml:space="preserve">Ruling </w:t>
      </w:r>
      <w:r w:rsidRPr="00486C8B">
        <w:rPr>
          <w:rFonts w:ascii="Times New Roman" w:hAnsi="Times New Roman" w:cs="Times New Roman"/>
          <w:sz w:val="26"/>
          <w:szCs w:val="26"/>
          <w:lang w:val="en-US"/>
        </w:rPr>
        <w:t xml:space="preserve">on new investments, notwithstanding threshold of turnover or revenues, they may have access to </w:t>
      </w:r>
      <w:r w:rsidR="004456AE" w:rsidRPr="00486C8B">
        <w:rPr>
          <w:rFonts w:ascii="Times New Roman" w:hAnsi="Times New Roman" w:cs="Times New Roman"/>
          <w:sz w:val="26"/>
          <w:szCs w:val="26"/>
          <w:lang w:val="en-US"/>
        </w:rPr>
        <w:t xml:space="preserve">Cooperative Compliance </w:t>
      </w:r>
      <w:r w:rsidRPr="00486C8B">
        <w:rPr>
          <w:rFonts w:ascii="Times New Roman" w:hAnsi="Times New Roman" w:cs="Times New Roman"/>
          <w:sz w:val="26"/>
          <w:szCs w:val="26"/>
          <w:lang w:val="en-US"/>
        </w:rPr>
        <w:t xml:space="preserve">program. </w:t>
      </w:r>
    </w:p>
    <w:p w14:paraId="61831BBB" w14:textId="1BF68B0B" w:rsidR="00246206" w:rsidRPr="00486C8B"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 xml:space="preserve">Where transactions with related parties take place in the investments, it is also possible to achieve the </w:t>
      </w:r>
      <w:r w:rsidR="00E91498" w:rsidRPr="00486C8B">
        <w:rPr>
          <w:rFonts w:ascii="Times New Roman" w:hAnsi="Times New Roman" w:cs="Times New Roman"/>
          <w:sz w:val="26"/>
          <w:szCs w:val="26"/>
          <w:lang w:val="en-US"/>
        </w:rPr>
        <w:t xml:space="preserve">signing </w:t>
      </w:r>
      <w:r w:rsidRPr="00486C8B">
        <w:rPr>
          <w:rFonts w:ascii="Times New Roman" w:hAnsi="Times New Roman" w:cs="Times New Roman"/>
          <w:sz w:val="26"/>
          <w:szCs w:val="26"/>
          <w:lang w:val="en-US"/>
        </w:rPr>
        <w:t xml:space="preserve">of a binding </w:t>
      </w:r>
      <w:r w:rsidR="004456AE" w:rsidRPr="00486C8B">
        <w:rPr>
          <w:rFonts w:ascii="Times New Roman" w:hAnsi="Times New Roman" w:cs="Times New Roman"/>
          <w:sz w:val="26"/>
          <w:szCs w:val="26"/>
          <w:lang w:val="en-US"/>
        </w:rPr>
        <w:t>Advance T</w:t>
      </w:r>
      <w:r w:rsidR="00E91498" w:rsidRPr="00486C8B">
        <w:rPr>
          <w:rFonts w:ascii="Times New Roman" w:hAnsi="Times New Roman" w:cs="Times New Roman"/>
          <w:sz w:val="26"/>
          <w:szCs w:val="26"/>
          <w:lang w:val="en-US"/>
        </w:rPr>
        <w:t>ax</w:t>
      </w:r>
      <w:r w:rsidRPr="00486C8B">
        <w:rPr>
          <w:rFonts w:ascii="Times New Roman" w:hAnsi="Times New Roman" w:cs="Times New Roman"/>
          <w:sz w:val="26"/>
          <w:szCs w:val="26"/>
          <w:lang w:val="en-US"/>
        </w:rPr>
        <w:t xml:space="preserve"> </w:t>
      </w:r>
      <w:r w:rsidR="004456AE" w:rsidRPr="00486C8B">
        <w:rPr>
          <w:rFonts w:ascii="Times New Roman" w:hAnsi="Times New Roman" w:cs="Times New Roman"/>
          <w:sz w:val="26"/>
          <w:szCs w:val="26"/>
          <w:lang w:val="en-US"/>
        </w:rPr>
        <w:t xml:space="preserve">Agreement </w:t>
      </w:r>
      <w:r w:rsidRPr="00486C8B">
        <w:rPr>
          <w:rFonts w:ascii="Times New Roman" w:hAnsi="Times New Roman" w:cs="Times New Roman"/>
          <w:sz w:val="26"/>
          <w:szCs w:val="26"/>
          <w:lang w:val="en-US"/>
        </w:rPr>
        <w:t>to determine</w:t>
      </w:r>
      <w:r w:rsidR="00276F45">
        <w:rPr>
          <w:rFonts w:ascii="Times New Roman" w:hAnsi="Times New Roman" w:cs="Times New Roman"/>
          <w:sz w:val="26"/>
          <w:szCs w:val="26"/>
          <w:lang w:val="en-US"/>
        </w:rPr>
        <w:t>,</w:t>
      </w:r>
      <w:r w:rsidRPr="00486C8B">
        <w:rPr>
          <w:rFonts w:ascii="Times New Roman" w:hAnsi="Times New Roman" w:cs="Times New Roman"/>
          <w:sz w:val="26"/>
          <w:szCs w:val="26"/>
          <w:lang w:val="en-US"/>
        </w:rPr>
        <w:t xml:space="preserve"> for instance the arm’s-length price of transactions or the application of rules, including international treaty rules, concerning, for instance, the receipt of dividends, interests, royalties or other income. </w:t>
      </w:r>
    </w:p>
    <w:p w14:paraId="7DCBCD31" w14:textId="3B3480BA" w:rsidR="00E91498" w:rsidRPr="00486C8B" w:rsidRDefault="008C5A04">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Moreover, the incorporation of an operating company by the newco enabl</w:t>
      </w:r>
      <w:r w:rsidR="008F27F2" w:rsidRPr="00486C8B">
        <w:rPr>
          <w:rFonts w:ascii="Times New Roman" w:hAnsi="Times New Roman" w:cs="Times New Roman"/>
          <w:sz w:val="26"/>
          <w:szCs w:val="26"/>
          <w:lang w:val="en-US"/>
        </w:rPr>
        <w:t>es</w:t>
      </w:r>
      <w:r w:rsidRPr="00486C8B">
        <w:rPr>
          <w:rFonts w:ascii="Times New Roman" w:hAnsi="Times New Roman" w:cs="Times New Roman"/>
          <w:sz w:val="26"/>
          <w:szCs w:val="26"/>
          <w:lang w:val="en-US"/>
        </w:rPr>
        <w:t xml:space="preserve"> these two Italian companies, controlled by the non-resident person</w:t>
      </w:r>
      <w:r w:rsidR="006A703B" w:rsidRPr="00486C8B">
        <w:rPr>
          <w:rFonts w:ascii="Times New Roman" w:hAnsi="Times New Roman" w:cs="Times New Roman"/>
          <w:sz w:val="26"/>
          <w:szCs w:val="26"/>
          <w:lang w:val="en-US"/>
        </w:rPr>
        <w:t xml:space="preserve"> establishing the newco to realize the investment, to adhere to VAT group</w:t>
      </w:r>
      <w:r w:rsidR="008F27F2" w:rsidRPr="00486C8B">
        <w:rPr>
          <w:rFonts w:ascii="Times New Roman" w:hAnsi="Times New Roman" w:cs="Times New Roman"/>
          <w:sz w:val="26"/>
          <w:szCs w:val="26"/>
          <w:lang w:val="en-US"/>
        </w:rPr>
        <w:t>ing rules</w:t>
      </w:r>
      <w:r w:rsidR="00471020">
        <w:rPr>
          <w:rFonts w:ascii="Times New Roman" w:hAnsi="Times New Roman" w:cs="Times New Roman"/>
          <w:sz w:val="26"/>
          <w:szCs w:val="26"/>
          <w:lang w:val="en-US"/>
        </w:rPr>
        <w:t xml:space="preserve"> (starting from 2018)</w:t>
      </w:r>
      <w:r w:rsidR="008F27F2" w:rsidRPr="00486C8B">
        <w:rPr>
          <w:rFonts w:ascii="Times New Roman" w:hAnsi="Times New Roman" w:cs="Times New Roman"/>
          <w:sz w:val="26"/>
          <w:szCs w:val="26"/>
          <w:lang w:val="en-US"/>
        </w:rPr>
        <w:t>.</w:t>
      </w:r>
    </w:p>
    <w:p w14:paraId="0E8BBF19" w14:textId="138A79DE" w:rsidR="00246206" w:rsidRPr="008F1731" w:rsidRDefault="006A0D57">
      <w:pPr>
        <w:spacing w:after="0" w:line="360" w:lineRule="auto"/>
        <w:ind w:left="360" w:firstLine="414"/>
        <w:rPr>
          <w:rFonts w:ascii="Times New Roman" w:hAnsi="Times New Roman" w:cs="Times New Roman"/>
          <w:sz w:val="26"/>
          <w:szCs w:val="26"/>
          <w:lang w:val="en-US"/>
        </w:rPr>
      </w:pPr>
      <w:r w:rsidRPr="00486C8B">
        <w:rPr>
          <w:rFonts w:ascii="Times New Roman" w:hAnsi="Times New Roman" w:cs="Times New Roman"/>
          <w:sz w:val="26"/>
          <w:szCs w:val="26"/>
          <w:lang w:val="en-US"/>
        </w:rPr>
        <w:t>Finally, manager</w:t>
      </w:r>
      <w:r w:rsidR="00471020">
        <w:rPr>
          <w:rFonts w:ascii="Times New Roman" w:hAnsi="Times New Roman" w:cs="Times New Roman"/>
          <w:sz w:val="26"/>
          <w:szCs w:val="26"/>
          <w:lang w:val="en-US"/>
        </w:rPr>
        <w:t>s</w:t>
      </w:r>
      <w:r w:rsidRPr="00486C8B">
        <w:rPr>
          <w:rFonts w:ascii="Times New Roman" w:hAnsi="Times New Roman" w:cs="Times New Roman"/>
          <w:sz w:val="26"/>
          <w:szCs w:val="26"/>
          <w:lang w:val="en-US"/>
        </w:rPr>
        <w:t xml:space="preserve"> and individual shareholders participating in the newco (and their relatives) may have convenience in transferring their residence </w:t>
      </w:r>
      <w:r w:rsidR="00E91498" w:rsidRPr="00486C8B">
        <w:rPr>
          <w:rFonts w:ascii="Times New Roman" w:hAnsi="Times New Roman" w:cs="Times New Roman"/>
          <w:sz w:val="26"/>
          <w:szCs w:val="26"/>
          <w:lang w:val="en-US"/>
        </w:rPr>
        <w:t xml:space="preserve">to </w:t>
      </w:r>
      <w:r w:rsidRPr="00486C8B">
        <w:rPr>
          <w:rFonts w:ascii="Times New Roman" w:hAnsi="Times New Roman" w:cs="Times New Roman"/>
          <w:sz w:val="26"/>
          <w:szCs w:val="26"/>
          <w:lang w:val="en-US"/>
        </w:rPr>
        <w:t>Italy</w:t>
      </w:r>
      <w:r w:rsidR="00E91498" w:rsidRPr="00486C8B">
        <w:rPr>
          <w:rFonts w:ascii="Times New Roman" w:hAnsi="Times New Roman" w:cs="Times New Roman"/>
          <w:sz w:val="26"/>
          <w:szCs w:val="26"/>
          <w:lang w:val="en-US"/>
        </w:rPr>
        <w:t xml:space="preserve"> and in paying</w:t>
      </w:r>
      <w:r w:rsidRPr="00486C8B">
        <w:rPr>
          <w:rFonts w:ascii="Times New Roman" w:hAnsi="Times New Roman" w:cs="Times New Roman"/>
          <w:sz w:val="26"/>
          <w:szCs w:val="26"/>
          <w:lang w:val="en-US"/>
        </w:rPr>
        <w:t xml:space="preserve"> the substitute tax under the New Residents regime.</w:t>
      </w:r>
    </w:p>
    <w:sectPr w:rsidR="00246206" w:rsidRPr="008F1731" w:rsidSect="000E2FDA">
      <w:headerReference w:type="default" r:id="rId8"/>
      <w:footerReference w:type="default" r:id="rId9"/>
      <w:pgSz w:w="11900" w:h="16840" w:code="9"/>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CF87" w14:textId="77777777" w:rsidR="002F2C06" w:rsidRDefault="002F2C06">
      <w:pPr>
        <w:spacing w:after="0"/>
      </w:pPr>
      <w:r>
        <w:separator/>
      </w:r>
    </w:p>
  </w:endnote>
  <w:endnote w:type="continuationSeparator" w:id="0">
    <w:p w14:paraId="018726C0" w14:textId="77777777" w:rsidR="002F2C06" w:rsidRDefault="002F2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0D98" w14:textId="77777777" w:rsidR="00292477" w:rsidRDefault="00292477">
    <w:pPr>
      <w:pStyle w:val="Pidipagina"/>
      <w:tabs>
        <w:tab w:val="clear" w:pos="9638"/>
        <w:tab w:val="right" w:pos="9612"/>
      </w:tabs>
      <w:jc w:val="right"/>
    </w:pPr>
    <w:r>
      <w:fldChar w:fldCharType="begin"/>
    </w:r>
    <w:r>
      <w:instrText xml:space="preserve"> PAGE </w:instrText>
    </w:r>
    <w:r>
      <w:fldChar w:fldCharType="separate"/>
    </w:r>
    <w:r w:rsidR="0024740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CB9D7" w14:textId="77777777" w:rsidR="002F2C06" w:rsidRDefault="002F2C06">
      <w:pPr>
        <w:spacing w:after="0"/>
      </w:pPr>
      <w:r>
        <w:separator/>
      </w:r>
    </w:p>
  </w:footnote>
  <w:footnote w:type="continuationSeparator" w:id="0">
    <w:p w14:paraId="2036AD07" w14:textId="77777777" w:rsidR="002F2C06" w:rsidRDefault="002F2C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5773" w14:textId="77777777" w:rsidR="00292477" w:rsidRDefault="00292477">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61D"/>
    <w:multiLevelType w:val="hybridMultilevel"/>
    <w:tmpl w:val="0CB4B138"/>
    <w:numStyleLink w:val="Stileimportato6"/>
  </w:abstractNum>
  <w:abstractNum w:abstractNumId="1">
    <w:nsid w:val="056E7FDC"/>
    <w:multiLevelType w:val="hybridMultilevel"/>
    <w:tmpl w:val="B4E68ABA"/>
    <w:numStyleLink w:val="Stileimportato4"/>
  </w:abstractNum>
  <w:abstractNum w:abstractNumId="2">
    <w:nsid w:val="06C44DD1"/>
    <w:multiLevelType w:val="hybridMultilevel"/>
    <w:tmpl w:val="F14225C2"/>
    <w:numStyleLink w:val="Stileimportato5"/>
  </w:abstractNum>
  <w:abstractNum w:abstractNumId="3">
    <w:nsid w:val="06F4727A"/>
    <w:multiLevelType w:val="hybridMultilevel"/>
    <w:tmpl w:val="9020974C"/>
    <w:numStyleLink w:val="Stileimportato3"/>
  </w:abstractNum>
  <w:abstractNum w:abstractNumId="4">
    <w:nsid w:val="0E8F4421"/>
    <w:multiLevelType w:val="hybridMultilevel"/>
    <w:tmpl w:val="F14225C2"/>
    <w:styleLink w:val="Stileimportato5"/>
    <w:lvl w:ilvl="0" w:tplc="D63ECAEC">
      <w:start w:val="1"/>
      <w:numFmt w:val="upperLetter"/>
      <w:lvlText w:val="%1."/>
      <w:lvlJc w:val="left"/>
      <w:pPr>
        <w:tabs>
          <w:tab w:val="num" w:pos="1416"/>
        </w:tabs>
        <w:ind w:left="502"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62E4AE">
      <w:start w:val="1"/>
      <w:numFmt w:val="lowerLetter"/>
      <w:lvlText w:val="%2."/>
      <w:lvlJc w:val="left"/>
      <w:pPr>
        <w:tabs>
          <w:tab w:val="num" w:pos="2354"/>
        </w:tabs>
        <w:ind w:left="1440" w:firstLine="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EA5D90">
      <w:start w:val="1"/>
      <w:numFmt w:val="lowerRoman"/>
      <w:lvlText w:val="%3."/>
      <w:lvlJc w:val="left"/>
      <w:pPr>
        <w:tabs>
          <w:tab w:val="num" w:pos="3074"/>
        </w:tabs>
        <w:ind w:left="2160" w:firstLine="7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B0F51A">
      <w:start w:val="1"/>
      <w:numFmt w:val="decimal"/>
      <w:lvlText w:val="%4."/>
      <w:lvlJc w:val="left"/>
      <w:pPr>
        <w:tabs>
          <w:tab w:val="num" w:pos="3794"/>
        </w:tabs>
        <w:ind w:left="2880" w:firstLine="6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8A7D42">
      <w:start w:val="1"/>
      <w:numFmt w:val="lowerLetter"/>
      <w:lvlText w:val="%5."/>
      <w:lvlJc w:val="left"/>
      <w:pPr>
        <w:tabs>
          <w:tab w:val="num" w:pos="4514"/>
        </w:tabs>
        <w:ind w:left="360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CC9864">
      <w:start w:val="1"/>
      <w:numFmt w:val="lowerRoman"/>
      <w:lvlText w:val="%6."/>
      <w:lvlJc w:val="left"/>
      <w:pPr>
        <w:tabs>
          <w:tab w:val="num" w:pos="5234"/>
        </w:tabs>
        <w:ind w:left="4320" w:firstLine="7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2AC5FC">
      <w:start w:val="1"/>
      <w:numFmt w:val="decimal"/>
      <w:lvlText w:val="%7."/>
      <w:lvlJc w:val="left"/>
      <w:pPr>
        <w:tabs>
          <w:tab w:val="num" w:pos="5954"/>
        </w:tabs>
        <w:ind w:left="5040" w:firstLine="7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D834B4">
      <w:start w:val="1"/>
      <w:numFmt w:val="lowerLetter"/>
      <w:lvlText w:val="%8."/>
      <w:lvlJc w:val="left"/>
      <w:pPr>
        <w:tabs>
          <w:tab w:val="num" w:pos="6674"/>
        </w:tabs>
        <w:ind w:left="5760" w:firstLine="7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A025C2">
      <w:start w:val="1"/>
      <w:numFmt w:val="lowerRoman"/>
      <w:suff w:val="nothing"/>
      <w:lvlText w:val="%9."/>
      <w:lvlJc w:val="left"/>
      <w:pPr>
        <w:ind w:left="6480" w:firstLine="7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DE16F7"/>
    <w:multiLevelType w:val="hybridMultilevel"/>
    <w:tmpl w:val="8D0A22D4"/>
    <w:styleLink w:val="Stileimportato10"/>
    <w:lvl w:ilvl="0" w:tplc="895CF488">
      <w:start w:val="1"/>
      <w:numFmt w:val="bullet"/>
      <w:lvlText w:val="➢"/>
      <w:lvlJc w:val="left"/>
      <w:pPr>
        <w:tabs>
          <w:tab w:val="num" w:pos="212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38E436">
      <w:start w:val="1"/>
      <w:numFmt w:val="bullet"/>
      <w:lvlText w:val="o"/>
      <w:lvlJc w:val="left"/>
      <w:pPr>
        <w:tabs>
          <w:tab w:val="num" w:pos="2844"/>
        </w:tabs>
        <w:ind w:left="2007" w:firstLine="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A3F2A">
      <w:start w:val="1"/>
      <w:numFmt w:val="bullet"/>
      <w:lvlText w:val="▪"/>
      <w:lvlJc w:val="left"/>
      <w:pPr>
        <w:tabs>
          <w:tab w:val="num" w:pos="3564"/>
        </w:tabs>
        <w:ind w:left="2727" w:firstLine="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FCF482">
      <w:start w:val="1"/>
      <w:numFmt w:val="bullet"/>
      <w:lvlText w:val="•"/>
      <w:lvlJc w:val="left"/>
      <w:pPr>
        <w:tabs>
          <w:tab w:val="num" w:pos="4284"/>
        </w:tabs>
        <w:ind w:left="3447"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3A4686">
      <w:start w:val="1"/>
      <w:numFmt w:val="bullet"/>
      <w:lvlText w:val="o"/>
      <w:lvlJc w:val="left"/>
      <w:pPr>
        <w:tabs>
          <w:tab w:val="num" w:pos="5004"/>
        </w:tabs>
        <w:ind w:left="4167" w:firstLine="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3C6AFE">
      <w:start w:val="1"/>
      <w:numFmt w:val="bullet"/>
      <w:lvlText w:val="▪"/>
      <w:lvlJc w:val="left"/>
      <w:pPr>
        <w:tabs>
          <w:tab w:val="num" w:pos="5724"/>
        </w:tabs>
        <w:ind w:left="4887" w:firstLine="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A214A">
      <w:start w:val="1"/>
      <w:numFmt w:val="bullet"/>
      <w:lvlText w:val="•"/>
      <w:lvlJc w:val="left"/>
      <w:pPr>
        <w:tabs>
          <w:tab w:val="num" w:pos="6444"/>
        </w:tabs>
        <w:ind w:left="5607" w:firstLine="4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F4C9B4">
      <w:start w:val="1"/>
      <w:numFmt w:val="bullet"/>
      <w:lvlText w:val="o"/>
      <w:lvlJc w:val="left"/>
      <w:pPr>
        <w:tabs>
          <w:tab w:val="num" w:pos="7164"/>
        </w:tabs>
        <w:ind w:left="6327" w:firstLine="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686FB0">
      <w:start w:val="1"/>
      <w:numFmt w:val="bullet"/>
      <w:lvlText w:val="▪"/>
      <w:lvlJc w:val="left"/>
      <w:pPr>
        <w:tabs>
          <w:tab w:val="num" w:pos="7884"/>
        </w:tabs>
        <w:ind w:left="7047" w:firstLine="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A91BB7"/>
    <w:multiLevelType w:val="hybridMultilevel"/>
    <w:tmpl w:val="F5DEE3F6"/>
    <w:styleLink w:val="Stileimportato9"/>
    <w:lvl w:ilvl="0" w:tplc="04B04858">
      <w:start w:val="1"/>
      <w:numFmt w:val="bullet"/>
      <w:lvlText w:val="➢"/>
      <w:lvlJc w:val="left"/>
      <w:pPr>
        <w:tabs>
          <w:tab w:val="num" w:pos="2124"/>
        </w:tabs>
        <w:ind w:left="1222"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4065A0">
      <w:start w:val="1"/>
      <w:numFmt w:val="bullet"/>
      <w:lvlText w:val="➢"/>
      <w:lvlJc w:val="left"/>
      <w:pPr>
        <w:tabs>
          <w:tab w:val="num" w:pos="2110"/>
        </w:tabs>
        <w:ind w:left="120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41142">
      <w:start w:val="1"/>
      <w:numFmt w:val="bullet"/>
      <w:lvlText w:val="➢"/>
      <w:lvlJc w:val="left"/>
      <w:pPr>
        <w:tabs>
          <w:tab w:val="num" w:pos="2830"/>
        </w:tabs>
        <w:ind w:left="192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82EF0">
      <w:start w:val="1"/>
      <w:numFmt w:val="bullet"/>
      <w:lvlText w:val="➢"/>
      <w:lvlJc w:val="left"/>
      <w:pPr>
        <w:tabs>
          <w:tab w:val="num" w:pos="3550"/>
        </w:tabs>
        <w:ind w:left="264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E4B590">
      <w:start w:val="1"/>
      <w:numFmt w:val="bullet"/>
      <w:lvlText w:val="➢"/>
      <w:lvlJc w:val="left"/>
      <w:pPr>
        <w:tabs>
          <w:tab w:val="num" w:pos="4270"/>
        </w:tabs>
        <w:ind w:left="336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900588">
      <w:start w:val="1"/>
      <w:numFmt w:val="bullet"/>
      <w:lvlText w:val="➢"/>
      <w:lvlJc w:val="left"/>
      <w:pPr>
        <w:tabs>
          <w:tab w:val="num" w:pos="4990"/>
        </w:tabs>
        <w:ind w:left="408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482F8">
      <w:start w:val="1"/>
      <w:numFmt w:val="bullet"/>
      <w:lvlText w:val="➢"/>
      <w:lvlJc w:val="left"/>
      <w:pPr>
        <w:tabs>
          <w:tab w:val="num" w:pos="5710"/>
        </w:tabs>
        <w:ind w:left="480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FE7EDC">
      <w:start w:val="1"/>
      <w:numFmt w:val="bullet"/>
      <w:lvlText w:val="➢"/>
      <w:lvlJc w:val="left"/>
      <w:pPr>
        <w:tabs>
          <w:tab w:val="num" w:pos="6430"/>
        </w:tabs>
        <w:ind w:left="552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E62D56">
      <w:start w:val="1"/>
      <w:numFmt w:val="bullet"/>
      <w:lvlText w:val="➢"/>
      <w:lvlJc w:val="left"/>
      <w:pPr>
        <w:tabs>
          <w:tab w:val="num" w:pos="7150"/>
        </w:tabs>
        <w:ind w:left="6248"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69321A7"/>
    <w:multiLevelType w:val="hybridMultilevel"/>
    <w:tmpl w:val="F5DEE3F6"/>
    <w:numStyleLink w:val="Stileimportato9"/>
  </w:abstractNum>
  <w:abstractNum w:abstractNumId="8">
    <w:nsid w:val="33742BCC"/>
    <w:multiLevelType w:val="hybridMultilevel"/>
    <w:tmpl w:val="D278D6D8"/>
    <w:styleLink w:val="Stileimportato7"/>
    <w:lvl w:ilvl="0" w:tplc="BA74A41A">
      <w:start w:val="1"/>
      <w:numFmt w:val="bullet"/>
      <w:lvlText w:val="➢"/>
      <w:lvlJc w:val="left"/>
      <w:pPr>
        <w:tabs>
          <w:tab w:val="num" w:pos="2124"/>
        </w:tabs>
        <w:ind w:left="1439"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D03BC8">
      <w:start w:val="1"/>
      <w:numFmt w:val="bullet"/>
      <w:lvlText w:val="➢"/>
      <w:lvlJc w:val="left"/>
      <w:pPr>
        <w:tabs>
          <w:tab w:val="num" w:pos="1676"/>
        </w:tabs>
        <w:ind w:left="99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9E3D5E">
      <w:start w:val="1"/>
      <w:numFmt w:val="bullet"/>
      <w:lvlText w:val="➢"/>
      <w:lvlJc w:val="left"/>
      <w:pPr>
        <w:tabs>
          <w:tab w:val="num" w:pos="2396"/>
        </w:tabs>
        <w:ind w:left="171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F01720">
      <w:start w:val="1"/>
      <w:numFmt w:val="bullet"/>
      <w:lvlText w:val="➢"/>
      <w:lvlJc w:val="left"/>
      <w:pPr>
        <w:tabs>
          <w:tab w:val="num" w:pos="3116"/>
        </w:tabs>
        <w:ind w:left="243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CA2E74">
      <w:start w:val="1"/>
      <w:numFmt w:val="bullet"/>
      <w:lvlText w:val="➢"/>
      <w:lvlJc w:val="left"/>
      <w:pPr>
        <w:tabs>
          <w:tab w:val="num" w:pos="3836"/>
        </w:tabs>
        <w:ind w:left="315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243066">
      <w:start w:val="1"/>
      <w:numFmt w:val="bullet"/>
      <w:lvlText w:val="➢"/>
      <w:lvlJc w:val="left"/>
      <w:pPr>
        <w:tabs>
          <w:tab w:val="num" w:pos="4556"/>
        </w:tabs>
        <w:ind w:left="387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6AD96">
      <w:start w:val="1"/>
      <w:numFmt w:val="bullet"/>
      <w:lvlText w:val="➢"/>
      <w:lvlJc w:val="left"/>
      <w:pPr>
        <w:tabs>
          <w:tab w:val="num" w:pos="5276"/>
        </w:tabs>
        <w:ind w:left="459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105808">
      <w:start w:val="1"/>
      <w:numFmt w:val="bullet"/>
      <w:lvlText w:val="➢"/>
      <w:lvlJc w:val="left"/>
      <w:pPr>
        <w:tabs>
          <w:tab w:val="num" w:pos="5996"/>
        </w:tabs>
        <w:ind w:left="531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626F4">
      <w:start w:val="1"/>
      <w:numFmt w:val="bullet"/>
      <w:lvlText w:val="➢"/>
      <w:lvlJc w:val="left"/>
      <w:pPr>
        <w:tabs>
          <w:tab w:val="num" w:pos="6716"/>
        </w:tabs>
        <w:ind w:left="603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6521E"/>
    <w:multiLevelType w:val="hybridMultilevel"/>
    <w:tmpl w:val="1CBE0C42"/>
    <w:lvl w:ilvl="0" w:tplc="0410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374B0913"/>
    <w:multiLevelType w:val="hybridMultilevel"/>
    <w:tmpl w:val="B4E68ABA"/>
    <w:styleLink w:val="Stileimportato4"/>
    <w:lvl w:ilvl="0" w:tplc="9F924F38">
      <w:start w:val="1"/>
      <w:numFmt w:val="bullet"/>
      <w:lvlText w:val="➢"/>
      <w:lvlJc w:val="left"/>
      <w:pPr>
        <w:tabs>
          <w:tab w:val="num" w:pos="2124"/>
        </w:tabs>
        <w:ind w:left="1429"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E4DF04">
      <w:start w:val="1"/>
      <w:numFmt w:val="bullet"/>
      <w:lvlText w:val="➢"/>
      <w:lvlJc w:val="left"/>
      <w:pPr>
        <w:tabs>
          <w:tab w:val="num" w:pos="1696"/>
        </w:tabs>
        <w:ind w:left="100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2ABCC0">
      <w:start w:val="1"/>
      <w:numFmt w:val="bullet"/>
      <w:lvlText w:val="➢"/>
      <w:lvlJc w:val="left"/>
      <w:pPr>
        <w:tabs>
          <w:tab w:val="num" w:pos="2416"/>
        </w:tabs>
        <w:ind w:left="172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20C7C0">
      <w:start w:val="1"/>
      <w:numFmt w:val="bullet"/>
      <w:lvlText w:val="➢"/>
      <w:lvlJc w:val="left"/>
      <w:pPr>
        <w:tabs>
          <w:tab w:val="num" w:pos="3136"/>
        </w:tabs>
        <w:ind w:left="244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A4C4EC">
      <w:start w:val="1"/>
      <w:numFmt w:val="bullet"/>
      <w:lvlText w:val="➢"/>
      <w:lvlJc w:val="left"/>
      <w:pPr>
        <w:tabs>
          <w:tab w:val="num" w:pos="3856"/>
        </w:tabs>
        <w:ind w:left="316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9CCDE0">
      <w:start w:val="1"/>
      <w:numFmt w:val="bullet"/>
      <w:lvlText w:val="➢"/>
      <w:lvlJc w:val="left"/>
      <w:pPr>
        <w:tabs>
          <w:tab w:val="num" w:pos="4576"/>
        </w:tabs>
        <w:ind w:left="388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01FBE">
      <w:start w:val="1"/>
      <w:numFmt w:val="bullet"/>
      <w:lvlText w:val="➢"/>
      <w:lvlJc w:val="left"/>
      <w:pPr>
        <w:tabs>
          <w:tab w:val="num" w:pos="5296"/>
        </w:tabs>
        <w:ind w:left="460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EA1924">
      <w:start w:val="1"/>
      <w:numFmt w:val="bullet"/>
      <w:lvlText w:val="➢"/>
      <w:lvlJc w:val="left"/>
      <w:pPr>
        <w:tabs>
          <w:tab w:val="num" w:pos="6016"/>
        </w:tabs>
        <w:ind w:left="532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A6DA6">
      <w:start w:val="1"/>
      <w:numFmt w:val="bullet"/>
      <w:lvlText w:val="➢"/>
      <w:lvlJc w:val="left"/>
      <w:pPr>
        <w:tabs>
          <w:tab w:val="num" w:pos="6736"/>
        </w:tabs>
        <w:ind w:left="6041"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F71257C"/>
    <w:multiLevelType w:val="hybridMultilevel"/>
    <w:tmpl w:val="480429FC"/>
    <w:lvl w:ilvl="0" w:tplc="0410000B">
      <w:start w:val="1"/>
      <w:numFmt w:val="bullet"/>
      <w:lvlText w:val=""/>
      <w:lvlJc w:val="left"/>
      <w:pPr>
        <w:ind w:left="1843" w:hanging="360"/>
      </w:pPr>
      <w:rPr>
        <w:rFonts w:ascii="Wingdings" w:hAnsi="Wingdings"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2">
    <w:nsid w:val="402F1256"/>
    <w:multiLevelType w:val="hybridMultilevel"/>
    <w:tmpl w:val="44DC11BC"/>
    <w:styleLink w:val="Stileimportato8"/>
    <w:lvl w:ilvl="0" w:tplc="B80C1774">
      <w:start w:val="1"/>
      <w:numFmt w:val="bullet"/>
      <w:lvlText w:val="➢"/>
      <w:lvlJc w:val="left"/>
      <w:pPr>
        <w:tabs>
          <w:tab w:val="num" w:pos="2124"/>
        </w:tabs>
        <w:ind w:left="1429"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5A7C52">
      <w:start w:val="1"/>
      <w:numFmt w:val="bullet"/>
      <w:lvlText w:val="o"/>
      <w:lvlJc w:val="left"/>
      <w:pPr>
        <w:tabs>
          <w:tab w:val="num" w:pos="2844"/>
        </w:tabs>
        <w:ind w:left="2149" w:firstLine="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6ED00">
      <w:start w:val="1"/>
      <w:numFmt w:val="bullet"/>
      <w:lvlText w:val="▪"/>
      <w:lvlJc w:val="left"/>
      <w:pPr>
        <w:tabs>
          <w:tab w:val="num" w:pos="3564"/>
        </w:tabs>
        <w:ind w:left="2869" w:firstLine="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8CD210">
      <w:start w:val="1"/>
      <w:numFmt w:val="bullet"/>
      <w:lvlText w:val="•"/>
      <w:lvlJc w:val="left"/>
      <w:pPr>
        <w:tabs>
          <w:tab w:val="num" w:pos="4284"/>
        </w:tabs>
        <w:ind w:left="3589"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BCF0B6">
      <w:start w:val="1"/>
      <w:numFmt w:val="bullet"/>
      <w:lvlText w:val="o"/>
      <w:lvlJc w:val="left"/>
      <w:pPr>
        <w:tabs>
          <w:tab w:val="num" w:pos="5004"/>
        </w:tabs>
        <w:ind w:left="4309" w:firstLine="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DE313A">
      <w:start w:val="1"/>
      <w:numFmt w:val="bullet"/>
      <w:lvlText w:val="▪"/>
      <w:lvlJc w:val="left"/>
      <w:pPr>
        <w:tabs>
          <w:tab w:val="num" w:pos="5724"/>
        </w:tabs>
        <w:ind w:left="5029" w:firstLine="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CCF9AE">
      <w:start w:val="1"/>
      <w:numFmt w:val="bullet"/>
      <w:lvlText w:val="•"/>
      <w:lvlJc w:val="left"/>
      <w:pPr>
        <w:tabs>
          <w:tab w:val="num" w:pos="6444"/>
        </w:tabs>
        <w:ind w:left="5749" w:firstLine="4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485946">
      <w:start w:val="1"/>
      <w:numFmt w:val="bullet"/>
      <w:lvlText w:val="o"/>
      <w:lvlJc w:val="left"/>
      <w:pPr>
        <w:tabs>
          <w:tab w:val="num" w:pos="7164"/>
        </w:tabs>
        <w:ind w:left="6469" w:firstLine="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C0A44A">
      <w:start w:val="1"/>
      <w:numFmt w:val="bullet"/>
      <w:lvlText w:val="▪"/>
      <w:lvlJc w:val="left"/>
      <w:pPr>
        <w:tabs>
          <w:tab w:val="num" w:pos="7884"/>
        </w:tabs>
        <w:ind w:left="7189" w:firstLine="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B717048"/>
    <w:multiLevelType w:val="hybridMultilevel"/>
    <w:tmpl w:val="79AE9A3A"/>
    <w:numStyleLink w:val="Stileimportato2"/>
  </w:abstractNum>
  <w:abstractNum w:abstractNumId="14">
    <w:nsid w:val="521F28A3"/>
    <w:multiLevelType w:val="hybridMultilevel"/>
    <w:tmpl w:val="D278D6D8"/>
    <w:numStyleLink w:val="Stileimportato7"/>
  </w:abstractNum>
  <w:abstractNum w:abstractNumId="15">
    <w:nsid w:val="55CF2095"/>
    <w:multiLevelType w:val="hybridMultilevel"/>
    <w:tmpl w:val="8D0A22D4"/>
    <w:numStyleLink w:val="Stileimportato10"/>
  </w:abstractNum>
  <w:abstractNum w:abstractNumId="16">
    <w:nsid w:val="57191EEE"/>
    <w:multiLevelType w:val="hybridMultilevel"/>
    <w:tmpl w:val="B6185C00"/>
    <w:lvl w:ilvl="0" w:tplc="0410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60F84308"/>
    <w:multiLevelType w:val="hybridMultilevel"/>
    <w:tmpl w:val="79AE9A3A"/>
    <w:styleLink w:val="Stileimportato2"/>
    <w:lvl w:ilvl="0" w:tplc="0DB63C96">
      <w:start w:val="1"/>
      <w:numFmt w:val="upperLetter"/>
      <w:lvlText w:val="%1."/>
      <w:lvlJc w:val="left"/>
      <w:pPr>
        <w:tabs>
          <w:tab w:val="num" w:pos="1416"/>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B6660C4E">
      <w:start w:val="1"/>
      <w:numFmt w:val="lowerLetter"/>
      <w:lvlText w:val="%2."/>
      <w:lvlJc w:val="left"/>
      <w:pPr>
        <w:tabs>
          <w:tab w:val="num" w:pos="2136"/>
        </w:tabs>
        <w:ind w:left="1440"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838041B4">
      <w:start w:val="1"/>
      <w:numFmt w:val="lowerRoman"/>
      <w:lvlText w:val="%3."/>
      <w:lvlJc w:val="left"/>
      <w:pPr>
        <w:tabs>
          <w:tab w:val="num" w:pos="2856"/>
        </w:tabs>
        <w:ind w:left="2160" w:firstLine="496"/>
      </w:pPr>
      <w:rPr>
        <w:rFonts w:hAnsi="Arial Unicode MS"/>
        <w:caps w:val="0"/>
        <w:smallCaps w:val="0"/>
        <w:strike w:val="0"/>
        <w:dstrike w:val="0"/>
        <w:outline w:val="0"/>
        <w:emboss w:val="0"/>
        <w:imprint w:val="0"/>
        <w:spacing w:val="0"/>
        <w:w w:val="100"/>
        <w:kern w:val="0"/>
        <w:position w:val="0"/>
        <w:highlight w:val="none"/>
        <w:vertAlign w:val="baseline"/>
      </w:rPr>
    </w:lvl>
    <w:lvl w:ilvl="3" w:tplc="1EB8E15A">
      <w:start w:val="1"/>
      <w:numFmt w:val="decimal"/>
      <w:lvlText w:val="%4."/>
      <w:lvlJc w:val="left"/>
      <w:pPr>
        <w:tabs>
          <w:tab w:val="num" w:pos="3576"/>
        </w:tabs>
        <w:ind w:left="2880" w:firstLine="450"/>
      </w:pPr>
      <w:rPr>
        <w:rFonts w:hAnsi="Arial Unicode MS"/>
        <w:caps w:val="0"/>
        <w:smallCaps w:val="0"/>
        <w:strike w:val="0"/>
        <w:dstrike w:val="0"/>
        <w:outline w:val="0"/>
        <w:emboss w:val="0"/>
        <w:imprint w:val="0"/>
        <w:spacing w:val="0"/>
        <w:w w:val="100"/>
        <w:kern w:val="0"/>
        <w:position w:val="0"/>
        <w:highlight w:val="none"/>
        <w:vertAlign w:val="baseline"/>
      </w:rPr>
    </w:lvl>
    <w:lvl w:ilvl="4" w:tplc="CFEE797A">
      <w:start w:val="1"/>
      <w:numFmt w:val="lowerLetter"/>
      <w:lvlText w:val="%5."/>
      <w:lvlJc w:val="left"/>
      <w:pPr>
        <w:tabs>
          <w:tab w:val="num" w:pos="4296"/>
        </w:tabs>
        <w:ind w:left="3600" w:firstLine="462"/>
      </w:pPr>
      <w:rPr>
        <w:rFonts w:hAnsi="Arial Unicode MS"/>
        <w:caps w:val="0"/>
        <w:smallCaps w:val="0"/>
        <w:strike w:val="0"/>
        <w:dstrike w:val="0"/>
        <w:outline w:val="0"/>
        <w:emboss w:val="0"/>
        <w:imprint w:val="0"/>
        <w:spacing w:val="0"/>
        <w:w w:val="100"/>
        <w:kern w:val="0"/>
        <w:position w:val="0"/>
        <w:highlight w:val="none"/>
        <w:vertAlign w:val="baseline"/>
      </w:rPr>
    </w:lvl>
    <w:lvl w:ilvl="5" w:tplc="9F680310">
      <w:start w:val="1"/>
      <w:numFmt w:val="lowerRoman"/>
      <w:lvlText w:val="%6."/>
      <w:lvlJc w:val="left"/>
      <w:pPr>
        <w:tabs>
          <w:tab w:val="num" w:pos="5016"/>
        </w:tabs>
        <w:ind w:left="4320"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EE083F68">
      <w:start w:val="1"/>
      <w:numFmt w:val="decimal"/>
      <w:lvlText w:val="%7."/>
      <w:lvlJc w:val="left"/>
      <w:pPr>
        <w:tabs>
          <w:tab w:val="num" w:pos="5736"/>
        </w:tabs>
        <w:ind w:left="5040" w:firstLine="486"/>
      </w:pPr>
      <w:rPr>
        <w:rFonts w:hAnsi="Arial Unicode MS"/>
        <w:caps w:val="0"/>
        <w:smallCaps w:val="0"/>
        <w:strike w:val="0"/>
        <w:dstrike w:val="0"/>
        <w:outline w:val="0"/>
        <w:emboss w:val="0"/>
        <w:imprint w:val="0"/>
        <w:spacing w:val="0"/>
        <w:w w:val="100"/>
        <w:kern w:val="0"/>
        <w:position w:val="0"/>
        <w:highlight w:val="none"/>
        <w:vertAlign w:val="baseline"/>
      </w:rPr>
    </w:lvl>
    <w:lvl w:ilvl="7" w:tplc="E58E17F2">
      <w:start w:val="1"/>
      <w:numFmt w:val="lowerLetter"/>
      <w:lvlText w:val="%8."/>
      <w:lvlJc w:val="left"/>
      <w:pPr>
        <w:tabs>
          <w:tab w:val="num" w:pos="6456"/>
        </w:tabs>
        <w:ind w:left="5760" w:firstLine="498"/>
      </w:pPr>
      <w:rPr>
        <w:rFonts w:hAnsi="Arial Unicode MS"/>
        <w:caps w:val="0"/>
        <w:smallCaps w:val="0"/>
        <w:strike w:val="0"/>
        <w:dstrike w:val="0"/>
        <w:outline w:val="0"/>
        <w:emboss w:val="0"/>
        <w:imprint w:val="0"/>
        <w:spacing w:val="0"/>
        <w:w w:val="100"/>
        <w:kern w:val="0"/>
        <w:position w:val="0"/>
        <w:highlight w:val="none"/>
        <w:vertAlign w:val="baseline"/>
      </w:rPr>
    </w:lvl>
    <w:lvl w:ilvl="8" w:tplc="202EDE42">
      <w:start w:val="1"/>
      <w:numFmt w:val="lowerRoman"/>
      <w:suff w:val="nothing"/>
      <w:lvlText w:val="%9."/>
      <w:lvlJc w:val="left"/>
      <w:pPr>
        <w:ind w:left="6480" w:firstLine="5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39752AA"/>
    <w:multiLevelType w:val="hybridMultilevel"/>
    <w:tmpl w:val="0CB4B138"/>
    <w:styleLink w:val="Stileimportato6"/>
    <w:lvl w:ilvl="0" w:tplc="3ECA2CF4">
      <w:start w:val="1"/>
      <w:numFmt w:val="bullet"/>
      <w:lvlText w:val="➢"/>
      <w:lvlJc w:val="left"/>
      <w:pPr>
        <w:tabs>
          <w:tab w:val="num" w:pos="2124"/>
        </w:tabs>
        <w:ind w:left="1364"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129684">
      <w:start w:val="1"/>
      <w:numFmt w:val="bullet"/>
      <w:lvlText w:val="➢"/>
      <w:lvlJc w:val="left"/>
      <w:pPr>
        <w:tabs>
          <w:tab w:val="num" w:pos="1826"/>
        </w:tabs>
        <w:ind w:left="10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0C1966">
      <w:start w:val="1"/>
      <w:numFmt w:val="bullet"/>
      <w:lvlText w:val="➢"/>
      <w:lvlJc w:val="left"/>
      <w:pPr>
        <w:tabs>
          <w:tab w:val="num" w:pos="2546"/>
        </w:tabs>
        <w:ind w:left="178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DEBC18">
      <w:start w:val="1"/>
      <w:numFmt w:val="bullet"/>
      <w:lvlText w:val="➢"/>
      <w:lvlJc w:val="left"/>
      <w:pPr>
        <w:tabs>
          <w:tab w:val="num" w:pos="3266"/>
        </w:tabs>
        <w:ind w:left="250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CA0D8">
      <w:start w:val="1"/>
      <w:numFmt w:val="bullet"/>
      <w:lvlText w:val="➢"/>
      <w:lvlJc w:val="left"/>
      <w:pPr>
        <w:tabs>
          <w:tab w:val="num" w:pos="3986"/>
        </w:tabs>
        <w:ind w:left="322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1AB6DE">
      <w:start w:val="1"/>
      <w:numFmt w:val="bullet"/>
      <w:lvlText w:val="➢"/>
      <w:lvlJc w:val="left"/>
      <w:pPr>
        <w:tabs>
          <w:tab w:val="num" w:pos="4706"/>
        </w:tabs>
        <w:ind w:left="394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30F0E4">
      <w:start w:val="1"/>
      <w:numFmt w:val="bullet"/>
      <w:lvlText w:val="➢"/>
      <w:lvlJc w:val="left"/>
      <w:pPr>
        <w:tabs>
          <w:tab w:val="num" w:pos="5426"/>
        </w:tabs>
        <w:ind w:left="46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EED846">
      <w:start w:val="1"/>
      <w:numFmt w:val="bullet"/>
      <w:lvlText w:val="➢"/>
      <w:lvlJc w:val="left"/>
      <w:pPr>
        <w:tabs>
          <w:tab w:val="num" w:pos="6146"/>
        </w:tabs>
        <w:ind w:left="538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2D9DE">
      <w:start w:val="1"/>
      <w:numFmt w:val="bullet"/>
      <w:lvlText w:val="➢"/>
      <w:lvlJc w:val="left"/>
      <w:pPr>
        <w:tabs>
          <w:tab w:val="num" w:pos="6866"/>
        </w:tabs>
        <w:ind w:left="610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5D52AF"/>
    <w:multiLevelType w:val="hybridMultilevel"/>
    <w:tmpl w:val="44DC11BC"/>
    <w:numStyleLink w:val="Stileimportato8"/>
  </w:abstractNum>
  <w:abstractNum w:abstractNumId="20">
    <w:nsid w:val="7A946094"/>
    <w:multiLevelType w:val="hybridMultilevel"/>
    <w:tmpl w:val="9020974C"/>
    <w:styleLink w:val="Stileimportato3"/>
    <w:lvl w:ilvl="0" w:tplc="EC7A9E8E">
      <w:start w:val="1"/>
      <w:numFmt w:val="bullet"/>
      <w:lvlText w:val="➢"/>
      <w:lvlJc w:val="left"/>
      <w:pPr>
        <w:tabs>
          <w:tab w:val="num" w:pos="2124"/>
        </w:tabs>
        <w:ind w:left="1504"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6A7064">
      <w:start w:val="1"/>
      <w:numFmt w:val="bullet"/>
      <w:lvlText w:val="➢"/>
      <w:lvlJc w:val="left"/>
      <w:pPr>
        <w:tabs>
          <w:tab w:val="num" w:pos="1546"/>
        </w:tabs>
        <w:ind w:left="92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56B986">
      <w:start w:val="1"/>
      <w:numFmt w:val="bullet"/>
      <w:lvlText w:val="➢"/>
      <w:lvlJc w:val="left"/>
      <w:pPr>
        <w:tabs>
          <w:tab w:val="num" w:pos="2266"/>
        </w:tabs>
        <w:ind w:left="164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25654">
      <w:start w:val="1"/>
      <w:numFmt w:val="bullet"/>
      <w:lvlText w:val="➢"/>
      <w:lvlJc w:val="left"/>
      <w:pPr>
        <w:tabs>
          <w:tab w:val="num" w:pos="2986"/>
        </w:tabs>
        <w:ind w:left="23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E048A2">
      <w:start w:val="1"/>
      <w:numFmt w:val="bullet"/>
      <w:lvlText w:val="➢"/>
      <w:lvlJc w:val="left"/>
      <w:pPr>
        <w:tabs>
          <w:tab w:val="num" w:pos="3706"/>
        </w:tabs>
        <w:ind w:left="308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6924E">
      <w:start w:val="1"/>
      <w:numFmt w:val="bullet"/>
      <w:lvlText w:val="➢"/>
      <w:lvlJc w:val="left"/>
      <w:pPr>
        <w:tabs>
          <w:tab w:val="num" w:pos="4426"/>
        </w:tabs>
        <w:ind w:left="380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B4FAEA">
      <w:start w:val="1"/>
      <w:numFmt w:val="bullet"/>
      <w:lvlText w:val="➢"/>
      <w:lvlJc w:val="left"/>
      <w:pPr>
        <w:tabs>
          <w:tab w:val="num" w:pos="5146"/>
        </w:tabs>
        <w:ind w:left="452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D6836A">
      <w:start w:val="1"/>
      <w:numFmt w:val="bullet"/>
      <w:lvlText w:val="➢"/>
      <w:lvlJc w:val="left"/>
      <w:pPr>
        <w:tabs>
          <w:tab w:val="num" w:pos="5866"/>
        </w:tabs>
        <w:ind w:left="524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40FA6E">
      <w:start w:val="1"/>
      <w:numFmt w:val="bullet"/>
      <w:lvlText w:val="➢"/>
      <w:lvlJc w:val="left"/>
      <w:pPr>
        <w:tabs>
          <w:tab w:val="num" w:pos="6586"/>
        </w:tabs>
        <w:ind w:left="59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D33544A"/>
    <w:multiLevelType w:val="hybridMultilevel"/>
    <w:tmpl w:val="B04E14AC"/>
    <w:lvl w:ilvl="0" w:tplc="0410000B">
      <w:start w:val="1"/>
      <w:numFmt w:val="bullet"/>
      <w:lvlText w:val=""/>
      <w:lvlJc w:val="left"/>
      <w:pPr>
        <w:ind w:left="1562" w:hanging="360"/>
      </w:pPr>
      <w:rPr>
        <w:rFonts w:ascii="Wingdings" w:hAnsi="Wingdings"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2">
    <w:nsid w:val="7FC62014"/>
    <w:multiLevelType w:val="hybridMultilevel"/>
    <w:tmpl w:val="8A42AAC2"/>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17"/>
  </w:num>
  <w:num w:numId="2">
    <w:abstractNumId w:val="13"/>
  </w:num>
  <w:num w:numId="3">
    <w:abstractNumId w:val="20"/>
  </w:num>
  <w:num w:numId="4">
    <w:abstractNumId w:val="3"/>
  </w:num>
  <w:num w:numId="5">
    <w:abstractNumId w:val="3"/>
    <w:lvlOverride w:ilvl="0">
      <w:lvl w:ilvl="0" w:tplc="D838581E">
        <w:start w:val="1"/>
        <w:numFmt w:val="bullet"/>
        <w:lvlText w:val="➢"/>
        <w:lvlJc w:val="left"/>
        <w:pPr>
          <w:tabs>
            <w:tab w:val="num" w:pos="2124"/>
          </w:tabs>
          <w:ind w:left="1504"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5C13C0">
        <w:start w:val="1"/>
        <w:numFmt w:val="bullet"/>
        <w:lvlText w:val="➢"/>
        <w:lvlJc w:val="left"/>
        <w:pPr>
          <w:tabs>
            <w:tab w:val="num" w:pos="1546"/>
          </w:tabs>
          <w:ind w:left="92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8C8F32">
        <w:start w:val="1"/>
        <w:numFmt w:val="bullet"/>
        <w:lvlText w:val="➢"/>
        <w:lvlJc w:val="left"/>
        <w:pPr>
          <w:tabs>
            <w:tab w:val="num" w:pos="2266"/>
          </w:tabs>
          <w:ind w:left="164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0AFEF2">
        <w:start w:val="1"/>
        <w:numFmt w:val="bullet"/>
        <w:lvlText w:val="➢"/>
        <w:lvlJc w:val="left"/>
        <w:pPr>
          <w:tabs>
            <w:tab w:val="num" w:pos="2986"/>
          </w:tabs>
          <w:ind w:left="23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5E2B32">
        <w:start w:val="1"/>
        <w:numFmt w:val="bullet"/>
        <w:lvlText w:val="➢"/>
        <w:lvlJc w:val="left"/>
        <w:pPr>
          <w:tabs>
            <w:tab w:val="num" w:pos="3706"/>
          </w:tabs>
          <w:ind w:left="308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E0CE5E">
        <w:start w:val="1"/>
        <w:numFmt w:val="bullet"/>
        <w:lvlText w:val="➢"/>
        <w:lvlJc w:val="left"/>
        <w:pPr>
          <w:tabs>
            <w:tab w:val="num" w:pos="4426"/>
          </w:tabs>
          <w:ind w:left="380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F222BC">
        <w:start w:val="1"/>
        <w:numFmt w:val="bullet"/>
        <w:lvlText w:val="➢"/>
        <w:lvlJc w:val="left"/>
        <w:pPr>
          <w:tabs>
            <w:tab w:val="num" w:pos="5146"/>
          </w:tabs>
          <w:ind w:left="452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E21886">
        <w:start w:val="1"/>
        <w:numFmt w:val="bullet"/>
        <w:lvlText w:val="➢"/>
        <w:lvlJc w:val="left"/>
        <w:pPr>
          <w:tabs>
            <w:tab w:val="num" w:pos="5866"/>
          </w:tabs>
          <w:ind w:left="524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3CCE28">
        <w:start w:val="1"/>
        <w:numFmt w:val="bullet"/>
        <w:lvlText w:val="➢"/>
        <w:lvlJc w:val="left"/>
        <w:pPr>
          <w:tabs>
            <w:tab w:val="num" w:pos="6586"/>
          </w:tabs>
          <w:ind w:left="5966"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startOverride w:val="3"/>
    </w:lvlOverride>
  </w:num>
  <w:num w:numId="7">
    <w:abstractNumId w:val="10"/>
  </w:num>
  <w:num w:numId="8">
    <w:abstractNumId w:val="1"/>
    <w:lvlOverride w:ilvl="0">
      <w:lvl w:ilvl="0" w:tplc="60D8DC74">
        <w:start w:val="1"/>
        <w:numFmt w:val="bullet"/>
        <w:lvlText w:val="➢"/>
        <w:lvlJc w:val="left"/>
        <w:pPr>
          <w:tabs>
            <w:tab w:val="num" w:pos="2124"/>
          </w:tabs>
          <w:ind w:left="1429"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startOverride w:val="4"/>
    </w:lvlOverride>
  </w:num>
  <w:num w:numId="10">
    <w:abstractNumId w:val="4"/>
  </w:num>
  <w:num w:numId="11">
    <w:abstractNumId w:val="2"/>
  </w:num>
  <w:num w:numId="12">
    <w:abstractNumId w:val="18"/>
  </w:num>
  <w:num w:numId="13">
    <w:abstractNumId w:val="0"/>
  </w:num>
  <w:num w:numId="14">
    <w:abstractNumId w:val="8"/>
  </w:num>
  <w:num w:numId="15">
    <w:abstractNumId w:val="14"/>
  </w:num>
  <w:num w:numId="16">
    <w:abstractNumId w:val="2"/>
    <w:lvlOverride w:ilvl="0">
      <w:startOverride w:val="2"/>
    </w:lvlOverride>
  </w:num>
  <w:num w:numId="17">
    <w:abstractNumId w:val="12"/>
  </w:num>
  <w:num w:numId="18">
    <w:abstractNumId w:val="19"/>
  </w:num>
  <w:num w:numId="19">
    <w:abstractNumId w:val="6"/>
  </w:num>
  <w:num w:numId="20">
    <w:abstractNumId w:val="7"/>
  </w:num>
  <w:num w:numId="21">
    <w:abstractNumId w:val="2"/>
    <w:lvlOverride w:ilvl="0">
      <w:startOverride w:val="3"/>
      <w:lvl w:ilvl="0" w:tplc="8EACEAD4">
        <w:start w:val="3"/>
        <w:numFmt w:val="upperLetter"/>
        <w:lvlText w:val="%1."/>
        <w:lvlJc w:val="left"/>
        <w:pPr>
          <w:tabs>
            <w:tab w:val="num" w:pos="1416"/>
          </w:tabs>
          <w:ind w:left="718" w:hanging="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7A5600">
        <w:start w:val="1"/>
        <w:numFmt w:val="lowerLetter"/>
        <w:lvlText w:val="%2."/>
        <w:lvlJc w:val="left"/>
        <w:pPr>
          <w:tabs>
            <w:tab w:val="num" w:pos="1920"/>
          </w:tabs>
          <w:ind w:left="1222" w:firstLine="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D18F4CC">
        <w:start w:val="1"/>
        <w:numFmt w:val="lowerRoman"/>
        <w:lvlText w:val="%3."/>
        <w:lvlJc w:val="left"/>
        <w:pPr>
          <w:tabs>
            <w:tab w:val="num" w:pos="2640"/>
          </w:tabs>
          <w:ind w:left="1942" w:firstLine="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228F752">
        <w:start w:val="1"/>
        <w:numFmt w:val="decimal"/>
        <w:lvlText w:val="%4."/>
        <w:lvlJc w:val="left"/>
        <w:pPr>
          <w:tabs>
            <w:tab w:val="num" w:pos="3360"/>
          </w:tabs>
          <w:ind w:left="2662" w:firstLine="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E91F0">
        <w:start w:val="1"/>
        <w:numFmt w:val="lowerLetter"/>
        <w:lvlText w:val="%5."/>
        <w:lvlJc w:val="left"/>
        <w:pPr>
          <w:tabs>
            <w:tab w:val="num" w:pos="4080"/>
          </w:tabs>
          <w:ind w:left="3382" w:firstLine="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C86378">
        <w:start w:val="1"/>
        <w:numFmt w:val="lowerRoman"/>
        <w:lvlText w:val="%6."/>
        <w:lvlJc w:val="left"/>
        <w:pPr>
          <w:tabs>
            <w:tab w:val="num" w:pos="4800"/>
          </w:tabs>
          <w:ind w:left="4102" w:firstLine="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E217E4">
        <w:start w:val="1"/>
        <w:numFmt w:val="decimal"/>
        <w:lvlText w:val="%7."/>
        <w:lvlJc w:val="left"/>
        <w:pPr>
          <w:tabs>
            <w:tab w:val="num" w:pos="5520"/>
          </w:tabs>
          <w:ind w:left="4822" w:firstLine="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16578E">
        <w:start w:val="1"/>
        <w:numFmt w:val="lowerLetter"/>
        <w:lvlText w:val="%8."/>
        <w:lvlJc w:val="left"/>
        <w:pPr>
          <w:tabs>
            <w:tab w:val="num" w:pos="6240"/>
          </w:tabs>
          <w:ind w:left="5542" w:firstLine="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E893A6">
        <w:start w:val="1"/>
        <w:numFmt w:val="lowerRoman"/>
        <w:lvlText w:val="%9."/>
        <w:lvlJc w:val="left"/>
        <w:pPr>
          <w:tabs>
            <w:tab w:val="num" w:pos="6960"/>
          </w:tabs>
          <w:ind w:left="6262" w:firstLine="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5"/>
  </w:num>
  <w:num w:numId="23">
    <w:abstractNumId w:val="15"/>
    <w:lvlOverride w:ilvl="0">
      <w:lvl w:ilvl="0" w:tplc="14927DD8">
        <w:start w:val="1"/>
        <w:numFmt w:val="bullet"/>
        <w:lvlText w:val="➢"/>
        <w:lvlJc w:val="left"/>
        <w:pPr>
          <w:tabs>
            <w:tab w:val="num" w:pos="2124"/>
          </w:tabs>
          <w:ind w:left="1287" w:firstLine="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1"/>
  </w:num>
  <w:num w:numId="25">
    <w:abstractNumId w:val="16"/>
  </w:num>
  <w:num w:numId="26">
    <w:abstractNumId w:val="9"/>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6206"/>
    <w:rsid w:val="00014424"/>
    <w:rsid w:val="000627EA"/>
    <w:rsid w:val="000759D2"/>
    <w:rsid w:val="00083528"/>
    <w:rsid w:val="00096B27"/>
    <w:rsid w:val="000E2FDA"/>
    <w:rsid w:val="00111175"/>
    <w:rsid w:val="001441A2"/>
    <w:rsid w:val="001B2CEA"/>
    <w:rsid w:val="001B3112"/>
    <w:rsid w:val="001C5EB4"/>
    <w:rsid w:val="00215A79"/>
    <w:rsid w:val="00216DC5"/>
    <w:rsid w:val="00246206"/>
    <w:rsid w:val="00247407"/>
    <w:rsid w:val="00271D31"/>
    <w:rsid w:val="00276F45"/>
    <w:rsid w:val="002839BF"/>
    <w:rsid w:val="00292477"/>
    <w:rsid w:val="002E302D"/>
    <w:rsid w:val="002F2A3C"/>
    <w:rsid w:val="002F2C06"/>
    <w:rsid w:val="003568C8"/>
    <w:rsid w:val="003E1E93"/>
    <w:rsid w:val="003F6F01"/>
    <w:rsid w:val="004456AE"/>
    <w:rsid w:val="00471020"/>
    <w:rsid w:val="00475722"/>
    <w:rsid w:val="00486C8B"/>
    <w:rsid w:val="004B1EE8"/>
    <w:rsid w:val="00506148"/>
    <w:rsid w:val="00530993"/>
    <w:rsid w:val="005437A0"/>
    <w:rsid w:val="005D689D"/>
    <w:rsid w:val="005F387C"/>
    <w:rsid w:val="00622646"/>
    <w:rsid w:val="00665EC4"/>
    <w:rsid w:val="006950CE"/>
    <w:rsid w:val="006A0D57"/>
    <w:rsid w:val="006A703B"/>
    <w:rsid w:val="00766BF3"/>
    <w:rsid w:val="00792357"/>
    <w:rsid w:val="007A7978"/>
    <w:rsid w:val="007B6018"/>
    <w:rsid w:val="007D157D"/>
    <w:rsid w:val="007E67AA"/>
    <w:rsid w:val="0080205F"/>
    <w:rsid w:val="008538A1"/>
    <w:rsid w:val="008C5A04"/>
    <w:rsid w:val="008F1731"/>
    <w:rsid w:val="008F27F2"/>
    <w:rsid w:val="0094654F"/>
    <w:rsid w:val="00947F9F"/>
    <w:rsid w:val="009A1D85"/>
    <w:rsid w:val="009B6142"/>
    <w:rsid w:val="009D0C5D"/>
    <w:rsid w:val="009F1F73"/>
    <w:rsid w:val="009F778D"/>
    <w:rsid w:val="00A92FB3"/>
    <w:rsid w:val="00A93418"/>
    <w:rsid w:val="00AB3501"/>
    <w:rsid w:val="00AB47F6"/>
    <w:rsid w:val="00AE62BF"/>
    <w:rsid w:val="00B21FC7"/>
    <w:rsid w:val="00B73273"/>
    <w:rsid w:val="00BC03A9"/>
    <w:rsid w:val="00C238CB"/>
    <w:rsid w:val="00C47FC1"/>
    <w:rsid w:val="00C5472F"/>
    <w:rsid w:val="00C637EE"/>
    <w:rsid w:val="00C97403"/>
    <w:rsid w:val="00CA2369"/>
    <w:rsid w:val="00CC6948"/>
    <w:rsid w:val="00CF6F53"/>
    <w:rsid w:val="00D05A70"/>
    <w:rsid w:val="00D83177"/>
    <w:rsid w:val="00D912EC"/>
    <w:rsid w:val="00DC41A3"/>
    <w:rsid w:val="00DD6339"/>
    <w:rsid w:val="00E240A4"/>
    <w:rsid w:val="00E546DC"/>
    <w:rsid w:val="00E90EC5"/>
    <w:rsid w:val="00E91498"/>
    <w:rsid w:val="00E97ECC"/>
    <w:rsid w:val="00EB071A"/>
    <w:rsid w:val="00ED14F5"/>
    <w:rsid w:val="00ED7549"/>
    <w:rsid w:val="00F21245"/>
    <w:rsid w:val="00F66A52"/>
    <w:rsid w:val="00F94677"/>
    <w:rsid w:val="00FA4421"/>
    <w:rsid w:val="00FA6377"/>
    <w:rsid w:val="00FD0B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20"/>
      <w:jc w:val="both"/>
    </w:pPr>
    <w:rPr>
      <w:rFonts w:ascii="Palatino Linotype" w:eastAsia="Palatino Linotype" w:hAnsi="Palatino Linotype" w:cs="Palatino Linotype"/>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jc w:val="both"/>
    </w:pPr>
    <w:rPr>
      <w:rFonts w:ascii="Palatino Linotype" w:eastAsia="Palatino Linotype" w:hAnsi="Palatino Linotype" w:cs="Palatino Linotype"/>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numbering" w:customStyle="1" w:styleId="Stileimportato8">
    <w:name w:val="Stile importato 8"/>
    <w:pPr>
      <w:numPr>
        <w:numId w:val="17"/>
      </w:numPr>
    </w:pPr>
  </w:style>
  <w:style w:type="numbering" w:customStyle="1" w:styleId="Stileimportato9">
    <w:name w:val="Stile importato 9"/>
    <w:pPr>
      <w:numPr>
        <w:numId w:val="19"/>
      </w:numPr>
    </w:pPr>
  </w:style>
  <w:style w:type="numbering" w:customStyle="1" w:styleId="Stileimportato10">
    <w:name w:val="Stile importato 10"/>
    <w:pPr>
      <w:numPr>
        <w:numId w:val="22"/>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Palatino Linotype" w:eastAsia="Palatino Linotype" w:hAnsi="Palatino Linotype" w:cs="Palatino Linotype"/>
      <w:color w:val="000000"/>
      <w:u w:color="00000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C97403"/>
    <w:rPr>
      <w:b/>
      <w:bCs/>
    </w:rPr>
  </w:style>
  <w:style w:type="character" w:customStyle="1" w:styleId="SoggettocommentoCarattere">
    <w:name w:val="Soggetto commento Carattere"/>
    <w:basedOn w:val="TestocommentoCarattere"/>
    <w:link w:val="Soggettocommento"/>
    <w:uiPriority w:val="99"/>
    <w:semiHidden/>
    <w:rsid w:val="00C97403"/>
    <w:rPr>
      <w:rFonts w:ascii="Palatino Linotype" w:eastAsia="Palatino Linotype" w:hAnsi="Palatino Linotype" w:cs="Palatino Linotype"/>
      <w:b/>
      <w:bCs/>
      <w:color w:val="000000"/>
      <w:u w:color="000000"/>
    </w:rPr>
  </w:style>
  <w:style w:type="paragraph" w:styleId="Testofumetto">
    <w:name w:val="Balloon Text"/>
    <w:basedOn w:val="Normale"/>
    <w:link w:val="TestofumettoCarattere"/>
    <w:uiPriority w:val="99"/>
    <w:semiHidden/>
    <w:unhideWhenUsed/>
    <w:rsid w:val="00C9740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7403"/>
    <w:rPr>
      <w:rFonts w:ascii="Tahoma" w:eastAsia="Palatino Linotype" w:hAnsi="Tahoma" w:cs="Tahoma"/>
      <w:color w:val="000000"/>
      <w:sz w:val="16"/>
      <w:szCs w:val="16"/>
      <w:u w:color="000000"/>
    </w:rPr>
  </w:style>
  <w:style w:type="paragraph" w:styleId="Paragrafoelenco">
    <w:name w:val="List Paragraph"/>
    <w:basedOn w:val="Normale"/>
    <w:uiPriority w:val="34"/>
    <w:qFormat/>
    <w:rsid w:val="00ED1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20"/>
      <w:jc w:val="both"/>
    </w:pPr>
    <w:rPr>
      <w:rFonts w:ascii="Palatino Linotype" w:eastAsia="Palatino Linotype" w:hAnsi="Palatino Linotype" w:cs="Palatino Linotype"/>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jc w:val="both"/>
    </w:pPr>
    <w:rPr>
      <w:rFonts w:ascii="Palatino Linotype" w:eastAsia="Palatino Linotype" w:hAnsi="Palatino Linotype" w:cs="Palatino Linotype"/>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numbering" w:customStyle="1" w:styleId="Stileimportato8">
    <w:name w:val="Stile importato 8"/>
    <w:pPr>
      <w:numPr>
        <w:numId w:val="17"/>
      </w:numPr>
    </w:pPr>
  </w:style>
  <w:style w:type="numbering" w:customStyle="1" w:styleId="Stileimportato9">
    <w:name w:val="Stile importato 9"/>
    <w:pPr>
      <w:numPr>
        <w:numId w:val="19"/>
      </w:numPr>
    </w:pPr>
  </w:style>
  <w:style w:type="numbering" w:customStyle="1" w:styleId="Stileimportato10">
    <w:name w:val="Stile importato 10"/>
    <w:pPr>
      <w:numPr>
        <w:numId w:val="22"/>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Palatino Linotype" w:eastAsia="Palatino Linotype" w:hAnsi="Palatino Linotype" w:cs="Palatino Linotype"/>
      <w:color w:val="000000"/>
      <w:u w:color="00000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C97403"/>
    <w:rPr>
      <w:b/>
      <w:bCs/>
    </w:rPr>
  </w:style>
  <w:style w:type="character" w:customStyle="1" w:styleId="SoggettocommentoCarattere">
    <w:name w:val="Soggetto commento Carattere"/>
    <w:basedOn w:val="TestocommentoCarattere"/>
    <w:link w:val="Soggettocommento"/>
    <w:uiPriority w:val="99"/>
    <w:semiHidden/>
    <w:rsid w:val="00C97403"/>
    <w:rPr>
      <w:rFonts w:ascii="Palatino Linotype" w:eastAsia="Palatino Linotype" w:hAnsi="Palatino Linotype" w:cs="Palatino Linotype"/>
      <w:b/>
      <w:bCs/>
      <w:color w:val="000000"/>
      <w:u w:color="000000"/>
    </w:rPr>
  </w:style>
  <w:style w:type="paragraph" w:styleId="Testofumetto">
    <w:name w:val="Balloon Text"/>
    <w:basedOn w:val="Normale"/>
    <w:link w:val="TestofumettoCarattere"/>
    <w:uiPriority w:val="99"/>
    <w:semiHidden/>
    <w:unhideWhenUsed/>
    <w:rsid w:val="00C9740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7403"/>
    <w:rPr>
      <w:rFonts w:ascii="Tahoma" w:eastAsia="Palatino Linotype" w:hAnsi="Tahoma" w:cs="Tahoma"/>
      <w:color w:val="000000"/>
      <w:sz w:val="16"/>
      <w:szCs w:val="16"/>
      <w:u w:color="000000"/>
    </w:rPr>
  </w:style>
  <w:style w:type="paragraph" w:styleId="Paragrafoelenco">
    <w:name w:val="List Paragraph"/>
    <w:basedOn w:val="Normale"/>
    <w:uiPriority w:val="34"/>
    <w:qFormat/>
    <w:rsid w:val="00ED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3412</Words>
  <Characters>19450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MASSAI SIMONA</dc:creator>
  <cp:lastModifiedBy>DCN</cp:lastModifiedBy>
  <cp:revision>3</cp:revision>
  <cp:lastPrinted>2017-01-19T12:56:00Z</cp:lastPrinted>
  <dcterms:created xsi:type="dcterms:W3CDTF">2017-02-06T10:53:00Z</dcterms:created>
  <dcterms:modified xsi:type="dcterms:W3CDTF">2017-02-06T10:56:00Z</dcterms:modified>
</cp:coreProperties>
</file>